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1E" w:rsidRPr="005C2F1E" w:rsidRDefault="005C2F1E" w:rsidP="00FD6AFD">
      <w:pPr>
        <w:autoSpaceDE w:val="0"/>
        <w:autoSpaceDN w:val="0"/>
        <w:adjustRightInd w:val="0"/>
        <w:spacing w:after="0" w:line="240" w:lineRule="auto"/>
        <w:jc w:val="center"/>
        <w:rPr>
          <w:rFonts w:ascii="Arial" w:hAnsi="Arial" w:cs="Arial"/>
          <w:b/>
          <w:bCs/>
          <w:color w:val="000000"/>
          <w:sz w:val="20"/>
          <w:szCs w:val="20"/>
        </w:rPr>
      </w:pPr>
      <w:bookmarkStart w:id="0" w:name="_GoBack"/>
      <w:bookmarkEnd w:id="0"/>
    </w:p>
    <w:p w:rsidR="005C2F1E" w:rsidRPr="005C2F1E" w:rsidRDefault="005C2F1E" w:rsidP="005C2F1E">
      <w:pPr>
        <w:autoSpaceDE w:val="0"/>
        <w:autoSpaceDN w:val="0"/>
        <w:adjustRightInd w:val="0"/>
        <w:spacing w:after="0" w:line="240" w:lineRule="auto"/>
        <w:jc w:val="both"/>
        <w:rPr>
          <w:rFonts w:ascii="Arial" w:hAnsi="Arial" w:cs="Arial"/>
          <w:bCs/>
          <w:color w:val="000000"/>
          <w:sz w:val="20"/>
          <w:szCs w:val="20"/>
        </w:rPr>
      </w:pPr>
      <w:r w:rsidRPr="005C2F1E">
        <w:rPr>
          <w:rFonts w:ascii="Arial" w:hAnsi="Arial" w:cs="Arial"/>
          <w:bCs/>
          <w:color w:val="000000"/>
          <w:sz w:val="20"/>
          <w:szCs w:val="20"/>
        </w:rPr>
        <w:t>M&amp;A:IA:0262:15</w:t>
      </w:r>
    </w:p>
    <w:p w:rsidR="005C2F1E" w:rsidRPr="005C2F1E" w:rsidRDefault="005C2F1E" w:rsidP="005C2F1E">
      <w:pPr>
        <w:autoSpaceDE w:val="0"/>
        <w:autoSpaceDN w:val="0"/>
        <w:adjustRightInd w:val="0"/>
        <w:spacing w:after="0" w:line="240" w:lineRule="auto"/>
        <w:rPr>
          <w:rFonts w:ascii="Arial" w:hAnsi="Arial" w:cs="Arial"/>
          <w:b/>
          <w:bCs/>
          <w:color w:val="000000"/>
          <w:sz w:val="20"/>
          <w:szCs w:val="20"/>
        </w:rPr>
      </w:pPr>
    </w:p>
    <w:p w:rsidR="00E0280B" w:rsidRPr="00E0280B" w:rsidRDefault="00E0280B" w:rsidP="00E0280B">
      <w:pPr>
        <w:autoSpaceDE w:val="0"/>
        <w:autoSpaceDN w:val="0"/>
        <w:adjustRightInd w:val="0"/>
        <w:spacing w:after="0" w:line="240" w:lineRule="auto"/>
        <w:rPr>
          <w:rFonts w:ascii="Arial" w:hAnsi="Arial" w:cs="Arial"/>
          <w:bCs/>
          <w:color w:val="000000"/>
          <w:sz w:val="20"/>
          <w:szCs w:val="20"/>
        </w:rPr>
      </w:pPr>
      <w:r w:rsidRPr="00E0280B">
        <w:rPr>
          <w:rFonts w:ascii="Arial" w:hAnsi="Arial" w:cs="Arial"/>
          <w:bCs/>
          <w:color w:val="000000"/>
          <w:sz w:val="20"/>
          <w:szCs w:val="20"/>
        </w:rPr>
        <w:t>Manizales, 17 de abril de 2015</w:t>
      </w:r>
    </w:p>
    <w:p w:rsidR="00E0280B" w:rsidRDefault="00E0280B" w:rsidP="00E0280B">
      <w:pPr>
        <w:autoSpaceDE w:val="0"/>
        <w:autoSpaceDN w:val="0"/>
        <w:adjustRightInd w:val="0"/>
        <w:spacing w:after="0" w:line="240" w:lineRule="auto"/>
        <w:rPr>
          <w:rFonts w:ascii="Arial" w:hAnsi="Arial" w:cs="Arial"/>
          <w:b/>
          <w:bCs/>
          <w:color w:val="000000"/>
          <w:sz w:val="20"/>
          <w:szCs w:val="20"/>
        </w:rPr>
      </w:pPr>
    </w:p>
    <w:p w:rsidR="00151761" w:rsidRPr="005C2F1E" w:rsidRDefault="00E0280B" w:rsidP="00FD6AFD">
      <w:pPr>
        <w:autoSpaceDE w:val="0"/>
        <w:autoSpaceDN w:val="0"/>
        <w:adjustRightInd w:val="0"/>
        <w:spacing w:after="0" w:line="240" w:lineRule="auto"/>
        <w:jc w:val="center"/>
        <w:rPr>
          <w:rFonts w:ascii="Arial" w:hAnsi="Arial" w:cs="Arial"/>
          <w:b/>
          <w:bCs/>
          <w:color w:val="000000"/>
          <w:sz w:val="20"/>
          <w:szCs w:val="20"/>
        </w:rPr>
      </w:pPr>
      <w:r w:rsidRPr="005C2F1E">
        <w:rPr>
          <w:rFonts w:ascii="Arial" w:hAnsi="Arial" w:cs="Arial"/>
          <w:b/>
          <w:bCs/>
          <w:color w:val="000000"/>
          <w:sz w:val="20"/>
          <w:szCs w:val="20"/>
        </w:rPr>
        <w:t xml:space="preserve">OPINIÓN DE GESTIÓN Y RESULTADOS </w:t>
      </w:r>
    </w:p>
    <w:p w:rsidR="00BA281C" w:rsidRPr="005C2F1E" w:rsidRDefault="005E12C9" w:rsidP="00FD6AFD">
      <w:pPr>
        <w:spacing w:after="0" w:line="240" w:lineRule="auto"/>
        <w:jc w:val="center"/>
        <w:rPr>
          <w:rFonts w:ascii="Arial" w:hAnsi="Arial" w:cs="Arial"/>
          <w:b/>
          <w:sz w:val="20"/>
          <w:szCs w:val="20"/>
        </w:rPr>
      </w:pPr>
      <w:r w:rsidRPr="005C2F1E">
        <w:rPr>
          <w:rFonts w:ascii="Arial" w:hAnsi="Arial" w:cs="Arial"/>
          <w:b/>
          <w:sz w:val="20"/>
          <w:szCs w:val="20"/>
        </w:rPr>
        <w:t xml:space="preserve">CENTRAL </w:t>
      </w:r>
      <w:r w:rsidR="00976EA2" w:rsidRPr="005C2F1E">
        <w:rPr>
          <w:rFonts w:ascii="Arial" w:hAnsi="Arial" w:cs="Arial"/>
          <w:b/>
          <w:sz w:val="20"/>
          <w:szCs w:val="20"/>
        </w:rPr>
        <w:t>HIDROELÉCTRICA</w:t>
      </w:r>
      <w:r w:rsidRPr="005C2F1E">
        <w:rPr>
          <w:rFonts w:ascii="Arial" w:hAnsi="Arial" w:cs="Arial"/>
          <w:b/>
          <w:sz w:val="20"/>
          <w:szCs w:val="20"/>
        </w:rPr>
        <w:t xml:space="preserve"> DE CALDAS</w:t>
      </w:r>
      <w:r w:rsidR="003842C8" w:rsidRPr="005C2F1E">
        <w:rPr>
          <w:rFonts w:ascii="Arial" w:hAnsi="Arial" w:cs="Arial"/>
          <w:b/>
          <w:sz w:val="20"/>
          <w:szCs w:val="20"/>
        </w:rPr>
        <w:t xml:space="preserve"> S.A. E.S.P.</w:t>
      </w:r>
    </w:p>
    <w:p w:rsidR="00151761" w:rsidRPr="005C2F1E" w:rsidRDefault="005E12C9" w:rsidP="00FD6AFD">
      <w:pPr>
        <w:spacing w:after="0" w:line="240" w:lineRule="auto"/>
        <w:jc w:val="center"/>
        <w:rPr>
          <w:rFonts w:ascii="Arial" w:hAnsi="Arial" w:cs="Arial"/>
          <w:b/>
          <w:sz w:val="20"/>
          <w:szCs w:val="20"/>
        </w:rPr>
      </w:pPr>
      <w:r w:rsidRPr="005C2F1E">
        <w:rPr>
          <w:rFonts w:ascii="Arial" w:hAnsi="Arial" w:cs="Arial"/>
          <w:b/>
          <w:sz w:val="20"/>
          <w:szCs w:val="20"/>
        </w:rPr>
        <w:t>– CHEC</w:t>
      </w:r>
      <w:r w:rsidR="00151761" w:rsidRPr="005C2F1E">
        <w:rPr>
          <w:rFonts w:ascii="Arial" w:hAnsi="Arial" w:cs="Arial"/>
          <w:b/>
          <w:sz w:val="20"/>
          <w:szCs w:val="20"/>
        </w:rPr>
        <w:t xml:space="preserve"> </w:t>
      </w:r>
      <w:r w:rsidR="0019753F" w:rsidRPr="005C2F1E">
        <w:rPr>
          <w:rFonts w:ascii="Arial" w:hAnsi="Arial" w:cs="Arial"/>
          <w:b/>
          <w:sz w:val="20"/>
          <w:szCs w:val="20"/>
        </w:rPr>
        <w:t>E.S.P.</w:t>
      </w:r>
      <w:r w:rsidR="00141A58" w:rsidRPr="005C2F1E">
        <w:rPr>
          <w:rFonts w:ascii="Arial" w:hAnsi="Arial" w:cs="Arial"/>
          <w:b/>
          <w:sz w:val="20"/>
          <w:szCs w:val="20"/>
        </w:rPr>
        <w:t xml:space="preserve"> </w:t>
      </w:r>
      <w:r w:rsidR="00151761" w:rsidRPr="005C2F1E">
        <w:rPr>
          <w:rFonts w:ascii="Arial" w:hAnsi="Arial" w:cs="Arial"/>
          <w:b/>
          <w:sz w:val="20"/>
          <w:szCs w:val="20"/>
        </w:rPr>
        <w:t>–</w:t>
      </w:r>
    </w:p>
    <w:p w:rsidR="00151761" w:rsidRPr="005C2F1E" w:rsidRDefault="00FD6AFD" w:rsidP="00FD6AFD">
      <w:pPr>
        <w:spacing w:after="0" w:line="240" w:lineRule="auto"/>
        <w:jc w:val="center"/>
        <w:rPr>
          <w:rFonts w:ascii="Arial" w:hAnsi="Arial" w:cs="Arial"/>
          <w:b/>
          <w:sz w:val="20"/>
          <w:szCs w:val="20"/>
        </w:rPr>
      </w:pPr>
      <w:r w:rsidRPr="005C2F1E">
        <w:rPr>
          <w:rFonts w:ascii="Arial" w:hAnsi="Arial" w:cs="Arial"/>
          <w:b/>
          <w:sz w:val="20"/>
          <w:szCs w:val="20"/>
        </w:rPr>
        <w:t>A d</w:t>
      </w:r>
      <w:r w:rsidR="00546A34" w:rsidRPr="005C2F1E">
        <w:rPr>
          <w:rFonts w:ascii="Arial" w:hAnsi="Arial" w:cs="Arial"/>
          <w:b/>
          <w:sz w:val="20"/>
          <w:szCs w:val="20"/>
        </w:rPr>
        <w:t xml:space="preserve">iciembre 31 de </w:t>
      </w:r>
      <w:r w:rsidR="004E2000" w:rsidRPr="005C2F1E">
        <w:rPr>
          <w:rFonts w:ascii="Arial" w:hAnsi="Arial" w:cs="Arial"/>
          <w:b/>
          <w:sz w:val="20"/>
          <w:szCs w:val="20"/>
        </w:rPr>
        <w:t>2014</w:t>
      </w:r>
    </w:p>
    <w:p w:rsidR="001216C3" w:rsidRPr="005C2F1E" w:rsidRDefault="001216C3" w:rsidP="00FD6AFD">
      <w:pPr>
        <w:autoSpaceDE w:val="0"/>
        <w:autoSpaceDN w:val="0"/>
        <w:adjustRightInd w:val="0"/>
        <w:spacing w:after="0" w:line="240" w:lineRule="auto"/>
        <w:jc w:val="both"/>
        <w:rPr>
          <w:rFonts w:ascii="Arial" w:hAnsi="Arial" w:cs="Arial"/>
          <w:color w:val="000000"/>
          <w:sz w:val="20"/>
          <w:szCs w:val="20"/>
          <w:highlight w:val="yellow"/>
        </w:rPr>
      </w:pPr>
    </w:p>
    <w:p w:rsidR="008D090D" w:rsidRPr="005C2F1E" w:rsidRDefault="008D090D" w:rsidP="008D090D">
      <w:pPr>
        <w:autoSpaceDE w:val="0"/>
        <w:autoSpaceDN w:val="0"/>
        <w:adjustRightInd w:val="0"/>
        <w:spacing w:after="0" w:line="240" w:lineRule="auto"/>
        <w:jc w:val="both"/>
        <w:rPr>
          <w:rFonts w:ascii="Arial" w:hAnsi="Arial" w:cs="Arial"/>
          <w:sz w:val="20"/>
          <w:szCs w:val="20"/>
        </w:rPr>
      </w:pPr>
      <w:r w:rsidRPr="005C2F1E">
        <w:rPr>
          <w:rFonts w:ascii="Arial" w:hAnsi="Arial" w:cs="Arial"/>
          <w:sz w:val="20"/>
          <w:szCs w:val="20"/>
        </w:rPr>
        <w:t>En cumplimiento a lo normado en el artículo 53 de la ley 142 de 1994, nos permitimos publicar el resumen de la opinión general de la auditoría externa de gestión y resultados. Los aspectos evaluados en la auditoria están contenidos en el informe final que fue cargado al sistema único de información- SUI - de la SSPD.</w:t>
      </w:r>
    </w:p>
    <w:p w:rsidR="008D090D" w:rsidRPr="005C2F1E" w:rsidRDefault="008D090D" w:rsidP="008D090D">
      <w:pPr>
        <w:autoSpaceDE w:val="0"/>
        <w:autoSpaceDN w:val="0"/>
        <w:adjustRightInd w:val="0"/>
        <w:spacing w:after="0" w:line="240" w:lineRule="auto"/>
        <w:jc w:val="both"/>
        <w:rPr>
          <w:rFonts w:ascii="Arial" w:hAnsi="Arial" w:cs="Arial"/>
          <w:color w:val="000000"/>
          <w:sz w:val="20"/>
          <w:szCs w:val="20"/>
          <w:highlight w:val="yellow"/>
        </w:rPr>
      </w:pPr>
    </w:p>
    <w:p w:rsidR="008D090D" w:rsidRPr="005C2F1E" w:rsidRDefault="008D090D" w:rsidP="008D090D">
      <w:pPr>
        <w:spacing w:after="0" w:line="240" w:lineRule="auto"/>
        <w:jc w:val="both"/>
        <w:rPr>
          <w:rFonts w:ascii="Arial" w:hAnsi="Arial" w:cs="Arial"/>
          <w:sz w:val="20"/>
          <w:szCs w:val="20"/>
        </w:rPr>
      </w:pPr>
      <w:r w:rsidRPr="005C2F1E">
        <w:rPr>
          <w:rFonts w:ascii="Arial" w:hAnsi="Arial" w:cs="Arial"/>
          <w:sz w:val="20"/>
          <w:szCs w:val="20"/>
        </w:rPr>
        <w:t xml:space="preserve">Hemos efectuado la auditoría externa de gestión y resultados de </w:t>
      </w:r>
      <w:r w:rsidRPr="005C2F1E">
        <w:rPr>
          <w:rFonts w:ascii="Arial" w:hAnsi="Arial" w:cs="Arial"/>
          <w:b/>
          <w:sz w:val="20"/>
          <w:szCs w:val="20"/>
        </w:rPr>
        <w:t>LA CENTRAL HIDROELÉCTRICA DE CALDAS S.A. E.S.P.  – CHEC –</w:t>
      </w:r>
      <w:r w:rsidRPr="005C2F1E">
        <w:rPr>
          <w:rFonts w:ascii="Arial" w:hAnsi="Arial" w:cs="Arial"/>
          <w:sz w:val="20"/>
          <w:szCs w:val="20"/>
        </w:rPr>
        <w:t xml:space="preserve">, </w:t>
      </w:r>
      <w:r w:rsidRPr="005C2F1E">
        <w:rPr>
          <w:rFonts w:ascii="Arial" w:hAnsi="Arial" w:cs="Arial"/>
          <w:bCs/>
          <w:sz w:val="20"/>
          <w:szCs w:val="20"/>
        </w:rPr>
        <w:t>correspondiente</w:t>
      </w:r>
      <w:r w:rsidRPr="005C2F1E">
        <w:rPr>
          <w:rFonts w:ascii="Arial" w:hAnsi="Arial" w:cs="Arial"/>
          <w:sz w:val="20"/>
          <w:szCs w:val="20"/>
        </w:rPr>
        <w:t xml:space="preserve"> al ejercicio terminado al 31 de diciembre de 2014</w:t>
      </w:r>
    </w:p>
    <w:p w:rsidR="008D090D" w:rsidRPr="005C2F1E" w:rsidRDefault="00BA4FE0" w:rsidP="00BA4FE0">
      <w:pPr>
        <w:tabs>
          <w:tab w:val="left" w:pos="1950"/>
        </w:tabs>
        <w:autoSpaceDE w:val="0"/>
        <w:autoSpaceDN w:val="0"/>
        <w:adjustRightInd w:val="0"/>
        <w:spacing w:after="0" w:line="240" w:lineRule="auto"/>
        <w:jc w:val="both"/>
        <w:rPr>
          <w:rFonts w:ascii="Arial" w:hAnsi="Arial" w:cs="Arial"/>
          <w:sz w:val="20"/>
          <w:szCs w:val="20"/>
        </w:rPr>
      </w:pPr>
      <w:r w:rsidRPr="005C2F1E">
        <w:rPr>
          <w:rFonts w:ascii="Arial" w:hAnsi="Arial" w:cs="Arial"/>
          <w:sz w:val="20"/>
          <w:szCs w:val="20"/>
        </w:rPr>
        <w:tab/>
      </w:r>
    </w:p>
    <w:p w:rsidR="008D090D" w:rsidRPr="005C2F1E" w:rsidRDefault="008D090D" w:rsidP="008D090D">
      <w:pPr>
        <w:autoSpaceDE w:val="0"/>
        <w:autoSpaceDN w:val="0"/>
        <w:adjustRightInd w:val="0"/>
        <w:spacing w:after="0" w:line="240" w:lineRule="auto"/>
        <w:jc w:val="both"/>
        <w:rPr>
          <w:rFonts w:ascii="Arial" w:hAnsi="Arial" w:cs="Arial"/>
          <w:sz w:val="20"/>
          <w:szCs w:val="20"/>
        </w:rPr>
      </w:pPr>
      <w:r w:rsidRPr="005C2F1E">
        <w:rPr>
          <w:rFonts w:ascii="Arial" w:hAnsi="Arial" w:cs="Arial"/>
          <w:sz w:val="20"/>
          <w:szCs w:val="20"/>
        </w:rPr>
        <w:t xml:space="preserve">La administración es responsable de diseñar, ejecutar y mantener la gestión interna de la entidad, buscando además, el cumplimiento de los objetivos generales y obteniendo la eficiencia que como organización requiere para el cumplimiento adecuado de su objeto social. </w:t>
      </w:r>
    </w:p>
    <w:p w:rsidR="008D090D" w:rsidRPr="005C2F1E" w:rsidRDefault="008D090D" w:rsidP="008D090D">
      <w:pPr>
        <w:autoSpaceDE w:val="0"/>
        <w:autoSpaceDN w:val="0"/>
        <w:adjustRightInd w:val="0"/>
        <w:spacing w:after="0" w:line="240" w:lineRule="auto"/>
        <w:jc w:val="both"/>
        <w:rPr>
          <w:rFonts w:ascii="Arial" w:hAnsi="Arial" w:cs="Arial"/>
          <w:sz w:val="20"/>
          <w:szCs w:val="20"/>
        </w:rPr>
      </w:pPr>
    </w:p>
    <w:p w:rsidR="008D090D" w:rsidRPr="005C2F1E" w:rsidRDefault="008D090D" w:rsidP="008D090D">
      <w:pPr>
        <w:autoSpaceDE w:val="0"/>
        <w:autoSpaceDN w:val="0"/>
        <w:adjustRightInd w:val="0"/>
        <w:spacing w:after="0" w:line="240" w:lineRule="auto"/>
        <w:jc w:val="both"/>
        <w:rPr>
          <w:rFonts w:ascii="Arial" w:hAnsi="Arial" w:cs="Arial"/>
          <w:bCs/>
          <w:sz w:val="20"/>
          <w:szCs w:val="20"/>
        </w:rPr>
      </w:pPr>
      <w:r w:rsidRPr="005C2F1E">
        <w:rPr>
          <w:rFonts w:ascii="Arial" w:hAnsi="Arial" w:cs="Arial"/>
          <w:sz w:val="20"/>
          <w:szCs w:val="20"/>
        </w:rPr>
        <w:t xml:space="preserve">Nuestra responsabilidad consistió en evaluar la gestión de la entidad para lo cual contemplamos los preceptos normativos contenidos en la Ley 142 de 1994 y sus modificaciones, además, de los lineamiento descritos en la </w:t>
      </w:r>
      <w:r w:rsidRPr="005C2F1E">
        <w:rPr>
          <w:rFonts w:ascii="Arial" w:hAnsi="Arial" w:cs="Arial"/>
          <w:bCs/>
          <w:sz w:val="20"/>
          <w:szCs w:val="20"/>
        </w:rPr>
        <w:t xml:space="preserve">Resolución 12295 </w:t>
      </w:r>
      <w:r w:rsidRPr="005C2F1E">
        <w:rPr>
          <w:rFonts w:ascii="Arial" w:hAnsi="Arial" w:cs="Arial"/>
          <w:sz w:val="20"/>
          <w:szCs w:val="20"/>
        </w:rPr>
        <w:t xml:space="preserve">del 18 de abril de 2006  emanada de la Superintendencia de Servicios Públicos Domiciliarios, la cual determina los criterios, metodologías, indicadores, parámetros y modelos  para la ejecución de las auditorías externas de gestión y resultados aplicadas para las E.S.P., así mismo, se </w:t>
      </w:r>
      <w:r w:rsidRPr="005C2F1E">
        <w:rPr>
          <w:rFonts w:ascii="Arial" w:hAnsi="Arial" w:cs="Arial"/>
          <w:sz w:val="20"/>
          <w:szCs w:val="20"/>
        </w:rPr>
        <w:lastRenderedPageBreak/>
        <w:t xml:space="preserve">tuvieron en cuenta las disposiciones expedidas por la </w:t>
      </w:r>
      <w:r w:rsidRPr="005C2F1E">
        <w:rPr>
          <w:rFonts w:ascii="Arial" w:hAnsi="Arial" w:cs="Arial"/>
          <w:bCs/>
          <w:sz w:val="20"/>
          <w:szCs w:val="20"/>
        </w:rPr>
        <w:t>Comisión de Regulación de Energía y Gas-CREG.</w:t>
      </w:r>
    </w:p>
    <w:p w:rsidR="008D090D" w:rsidRPr="005C2F1E" w:rsidRDefault="008D090D" w:rsidP="008D090D">
      <w:pPr>
        <w:autoSpaceDE w:val="0"/>
        <w:autoSpaceDN w:val="0"/>
        <w:adjustRightInd w:val="0"/>
        <w:spacing w:after="0" w:line="240" w:lineRule="auto"/>
        <w:jc w:val="both"/>
        <w:rPr>
          <w:rFonts w:ascii="Arial" w:hAnsi="Arial" w:cs="Arial"/>
          <w:b/>
          <w:bCs/>
          <w:sz w:val="20"/>
          <w:szCs w:val="20"/>
        </w:rPr>
      </w:pPr>
    </w:p>
    <w:p w:rsidR="008D090D" w:rsidRPr="005C2F1E" w:rsidRDefault="008D090D" w:rsidP="008D090D">
      <w:pPr>
        <w:autoSpaceDE w:val="0"/>
        <w:autoSpaceDN w:val="0"/>
        <w:adjustRightInd w:val="0"/>
        <w:spacing w:after="0" w:line="240" w:lineRule="auto"/>
        <w:jc w:val="both"/>
        <w:rPr>
          <w:rFonts w:ascii="Arial" w:hAnsi="Arial" w:cs="Arial"/>
          <w:sz w:val="20"/>
          <w:szCs w:val="20"/>
        </w:rPr>
      </w:pPr>
      <w:r w:rsidRPr="005C2F1E">
        <w:rPr>
          <w:rFonts w:ascii="Arial" w:hAnsi="Arial" w:cs="Arial"/>
          <w:sz w:val="20"/>
          <w:szCs w:val="20"/>
        </w:rPr>
        <w:t xml:space="preserve">Obtuvimos la información necesaria para cumplir con las funciones de auditoría externa de gestión y resultados, y llevamos a cabo nuestra revisión de acuerdo con las normas de auditoría generalmente aceptadas. Estas normas requieren que planeemos y realicemos la auditoria para cerciorarnos que la entidad, haya cumplido con los parámetros establecidos en la normatividad señalada en el párrafo anterior.  </w:t>
      </w:r>
    </w:p>
    <w:p w:rsidR="008D090D" w:rsidRPr="005C2F1E" w:rsidRDefault="008D090D" w:rsidP="008D090D">
      <w:pPr>
        <w:autoSpaceDE w:val="0"/>
        <w:autoSpaceDN w:val="0"/>
        <w:adjustRightInd w:val="0"/>
        <w:spacing w:after="0" w:line="240" w:lineRule="auto"/>
        <w:jc w:val="both"/>
        <w:rPr>
          <w:rFonts w:ascii="Arial" w:hAnsi="Arial" w:cs="Arial"/>
          <w:sz w:val="20"/>
          <w:szCs w:val="20"/>
        </w:rPr>
      </w:pPr>
    </w:p>
    <w:p w:rsidR="00E0280B" w:rsidRDefault="008D090D" w:rsidP="002C2E67">
      <w:pPr>
        <w:autoSpaceDE w:val="0"/>
        <w:autoSpaceDN w:val="0"/>
        <w:adjustRightInd w:val="0"/>
        <w:spacing w:after="0" w:line="240" w:lineRule="auto"/>
        <w:jc w:val="both"/>
        <w:rPr>
          <w:rFonts w:ascii="Arial" w:hAnsi="Arial" w:cs="Arial"/>
          <w:b/>
          <w:color w:val="000000"/>
          <w:sz w:val="20"/>
          <w:szCs w:val="20"/>
        </w:rPr>
      </w:pPr>
      <w:r w:rsidRPr="005C2F1E">
        <w:rPr>
          <w:rFonts w:ascii="Arial" w:hAnsi="Arial" w:cs="Arial"/>
          <w:sz w:val="20"/>
          <w:szCs w:val="20"/>
        </w:rPr>
        <w:t xml:space="preserve">Una auditoria con estas características incluye entre otros procedimientos, el examen con base en pruebas selectivas de la evidencia que respalda la información derivada de la gestión y de los resultados del período. Además, incluye una evaluación de </w:t>
      </w:r>
      <w:r w:rsidRPr="005C2F1E">
        <w:rPr>
          <w:rFonts w:ascii="Arial" w:eastAsia="Times New Roman" w:hAnsi="Arial" w:cs="Arial"/>
          <w:sz w:val="20"/>
          <w:szCs w:val="20"/>
          <w:lang w:eastAsia="es-CO"/>
        </w:rPr>
        <w:t>la arquitectura organizacional, viabilidad financiera, aspectos financieros, técnicos, operativos, comerciales, externos, indicadores de gestión, del nivel de riesgo y el sistema de control interno. Nuestra revisión provee una base razonable para emitir la opinión del auditor externo de gestión y resultados a diciembre 31 de 2014, la cual expresamos seguidamente:</w:t>
      </w:r>
    </w:p>
    <w:p w:rsidR="00E0280B" w:rsidRDefault="00E0280B" w:rsidP="002C2E67">
      <w:pPr>
        <w:autoSpaceDE w:val="0"/>
        <w:autoSpaceDN w:val="0"/>
        <w:adjustRightInd w:val="0"/>
        <w:spacing w:after="0" w:line="240" w:lineRule="auto"/>
        <w:jc w:val="both"/>
        <w:rPr>
          <w:rFonts w:ascii="Arial" w:hAnsi="Arial" w:cs="Arial"/>
          <w:b/>
          <w:color w:val="000000"/>
          <w:sz w:val="20"/>
          <w:szCs w:val="20"/>
        </w:rPr>
      </w:pPr>
    </w:p>
    <w:p w:rsidR="00E0280B" w:rsidRDefault="00E0280B" w:rsidP="002C2E67">
      <w:pPr>
        <w:autoSpaceDE w:val="0"/>
        <w:autoSpaceDN w:val="0"/>
        <w:adjustRightInd w:val="0"/>
        <w:spacing w:after="0" w:line="240" w:lineRule="auto"/>
        <w:jc w:val="both"/>
        <w:rPr>
          <w:rFonts w:ascii="Arial" w:hAnsi="Arial" w:cs="Arial"/>
          <w:b/>
          <w:color w:val="000000"/>
          <w:sz w:val="20"/>
          <w:szCs w:val="20"/>
        </w:rPr>
      </w:pPr>
    </w:p>
    <w:p w:rsidR="00E0280B" w:rsidRDefault="00E0280B" w:rsidP="002C2E67">
      <w:pPr>
        <w:autoSpaceDE w:val="0"/>
        <w:autoSpaceDN w:val="0"/>
        <w:adjustRightInd w:val="0"/>
        <w:spacing w:after="0" w:line="240" w:lineRule="auto"/>
        <w:jc w:val="both"/>
        <w:rPr>
          <w:rFonts w:ascii="Arial" w:hAnsi="Arial" w:cs="Arial"/>
          <w:b/>
          <w:color w:val="000000"/>
          <w:sz w:val="20"/>
          <w:szCs w:val="20"/>
        </w:rPr>
      </w:pPr>
    </w:p>
    <w:p w:rsidR="00E0280B" w:rsidRDefault="00E0280B" w:rsidP="002C2E67">
      <w:pPr>
        <w:autoSpaceDE w:val="0"/>
        <w:autoSpaceDN w:val="0"/>
        <w:adjustRightInd w:val="0"/>
        <w:spacing w:after="0" w:line="240" w:lineRule="auto"/>
        <w:jc w:val="both"/>
        <w:rPr>
          <w:rFonts w:ascii="Arial" w:hAnsi="Arial" w:cs="Arial"/>
          <w:b/>
          <w:color w:val="000000"/>
          <w:sz w:val="20"/>
          <w:szCs w:val="20"/>
        </w:rPr>
      </w:pPr>
    </w:p>
    <w:p w:rsidR="00151761" w:rsidRPr="005C2F1E" w:rsidRDefault="00151761" w:rsidP="002C2E67">
      <w:pPr>
        <w:autoSpaceDE w:val="0"/>
        <w:autoSpaceDN w:val="0"/>
        <w:adjustRightInd w:val="0"/>
        <w:spacing w:after="0" w:line="240" w:lineRule="auto"/>
        <w:jc w:val="both"/>
        <w:rPr>
          <w:rFonts w:ascii="Arial" w:hAnsi="Arial" w:cs="Arial"/>
          <w:color w:val="000000"/>
          <w:sz w:val="20"/>
          <w:szCs w:val="20"/>
        </w:rPr>
      </w:pPr>
      <w:r w:rsidRPr="005C2F1E">
        <w:rPr>
          <w:rFonts w:ascii="Arial" w:hAnsi="Arial" w:cs="Arial"/>
          <w:b/>
          <w:color w:val="000000"/>
          <w:sz w:val="20"/>
          <w:szCs w:val="20"/>
        </w:rPr>
        <w:t xml:space="preserve">Arquitectura </w:t>
      </w:r>
      <w:r w:rsidR="004D53D2" w:rsidRPr="005C2F1E">
        <w:rPr>
          <w:rFonts w:ascii="Arial" w:hAnsi="Arial" w:cs="Arial"/>
          <w:b/>
          <w:color w:val="000000"/>
          <w:sz w:val="20"/>
          <w:szCs w:val="20"/>
        </w:rPr>
        <w:t>organizacional</w:t>
      </w:r>
      <w:r w:rsidRPr="005C2F1E">
        <w:rPr>
          <w:rFonts w:ascii="Arial" w:hAnsi="Arial" w:cs="Arial"/>
          <w:b/>
          <w:color w:val="000000"/>
          <w:sz w:val="20"/>
          <w:szCs w:val="20"/>
        </w:rPr>
        <w:t>:</w:t>
      </w:r>
      <w:r w:rsidR="008D090D" w:rsidRPr="005C2F1E">
        <w:rPr>
          <w:rFonts w:ascii="Arial" w:hAnsi="Arial" w:cs="Arial"/>
          <w:color w:val="000000"/>
          <w:sz w:val="20"/>
          <w:szCs w:val="20"/>
        </w:rPr>
        <w:t xml:space="preserve"> l</w:t>
      </w:r>
      <w:r w:rsidRPr="005C2F1E">
        <w:rPr>
          <w:rFonts w:ascii="Arial" w:hAnsi="Arial" w:cs="Arial"/>
          <w:color w:val="000000"/>
          <w:sz w:val="20"/>
          <w:szCs w:val="20"/>
        </w:rPr>
        <w:t>as actividades realizadas están de acuerdo con el objeto social establecido en los estatutos y las normas indicadas anteriormente.</w:t>
      </w:r>
    </w:p>
    <w:p w:rsidR="00151761" w:rsidRPr="005C2F1E" w:rsidRDefault="00151761" w:rsidP="002C2E67">
      <w:pPr>
        <w:autoSpaceDE w:val="0"/>
        <w:autoSpaceDN w:val="0"/>
        <w:adjustRightInd w:val="0"/>
        <w:spacing w:after="0" w:line="240" w:lineRule="auto"/>
        <w:jc w:val="both"/>
        <w:rPr>
          <w:rFonts w:ascii="Arial" w:hAnsi="Arial" w:cs="Arial"/>
          <w:b/>
          <w:color w:val="000000"/>
          <w:sz w:val="20"/>
          <w:szCs w:val="20"/>
        </w:rPr>
      </w:pPr>
    </w:p>
    <w:p w:rsidR="00783A91" w:rsidRPr="005C2F1E" w:rsidRDefault="00151761" w:rsidP="00783A91">
      <w:pPr>
        <w:spacing w:after="0" w:line="240" w:lineRule="auto"/>
        <w:jc w:val="both"/>
        <w:rPr>
          <w:rFonts w:ascii="Arial" w:hAnsi="Arial" w:cs="Arial"/>
          <w:sz w:val="20"/>
          <w:szCs w:val="20"/>
        </w:rPr>
      </w:pPr>
      <w:r w:rsidRPr="005C2F1E">
        <w:rPr>
          <w:rFonts w:ascii="Arial" w:hAnsi="Arial" w:cs="Arial"/>
          <w:b/>
          <w:sz w:val="20"/>
          <w:szCs w:val="20"/>
        </w:rPr>
        <w:t xml:space="preserve">Viabilidad </w:t>
      </w:r>
      <w:r w:rsidR="004D53D2" w:rsidRPr="005C2F1E">
        <w:rPr>
          <w:rFonts w:ascii="Arial" w:hAnsi="Arial" w:cs="Arial"/>
          <w:b/>
          <w:sz w:val="20"/>
          <w:szCs w:val="20"/>
        </w:rPr>
        <w:t>financiera</w:t>
      </w:r>
      <w:r w:rsidR="006343D6" w:rsidRPr="005C2F1E">
        <w:rPr>
          <w:rFonts w:ascii="Arial" w:hAnsi="Arial" w:cs="Arial"/>
          <w:b/>
          <w:sz w:val="20"/>
          <w:szCs w:val="20"/>
        </w:rPr>
        <w:t>:</w:t>
      </w:r>
      <w:r w:rsidRPr="005C2F1E">
        <w:rPr>
          <w:rFonts w:ascii="Arial" w:hAnsi="Arial" w:cs="Arial"/>
          <w:b/>
          <w:sz w:val="20"/>
          <w:szCs w:val="20"/>
        </w:rPr>
        <w:t xml:space="preserve"> </w:t>
      </w:r>
      <w:r w:rsidR="00975678" w:rsidRPr="005C2F1E">
        <w:rPr>
          <w:rFonts w:ascii="Arial" w:hAnsi="Arial" w:cs="Arial"/>
          <w:sz w:val="20"/>
          <w:szCs w:val="20"/>
        </w:rPr>
        <w:t>con</w:t>
      </w:r>
      <w:r w:rsidR="00783A91" w:rsidRPr="005C2F1E">
        <w:rPr>
          <w:rFonts w:ascii="Arial" w:hAnsi="Arial" w:cs="Arial"/>
          <w:sz w:val="20"/>
          <w:szCs w:val="20"/>
        </w:rPr>
        <w:t xml:space="preserve"> base en las proyecciones financieras se concluye que CHEC es viable financieramente en el corto, mediano y largo plazo, </w:t>
      </w:r>
      <w:r w:rsidR="00975678" w:rsidRPr="005C2F1E">
        <w:rPr>
          <w:rFonts w:ascii="Arial" w:hAnsi="Arial" w:cs="Arial"/>
          <w:sz w:val="20"/>
          <w:szCs w:val="20"/>
        </w:rPr>
        <w:t xml:space="preserve">de cumplirse las variables utilizadas para las mismas. </w:t>
      </w:r>
      <w:r w:rsidR="00820C6A" w:rsidRPr="005C2F1E">
        <w:rPr>
          <w:rFonts w:ascii="Arial" w:hAnsi="Arial" w:cs="Arial"/>
          <w:sz w:val="20"/>
          <w:szCs w:val="20"/>
        </w:rPr>
        <w:t xml:space="preserve">Se advierte que al cierre de 2014 se presentó un resultado estrecho principalmente en la liquidez de la entidad, generado por la restitución de la prima en colocación de acciones </w:t>
      </w:r>
      <w:r w:rsidR="00820C6A" w:rsidRPr="005C2F1E">
        <w:rPr>
          <w:rFonts w:ascii="Arial" w:hAnsi="Arial" w:cs="Arial"/>
          <w:sz w:val="20"/>
          <w:szCs w:val="20"/>
        </w:rPr>
        <w:lastRenderedPageBreak/>
        <w:t>que quedó pendiente de pago y el incremento en el endeudamiento financiero. Dichas situaciones fueron un evento no contemplado inicialmente en las proyecciones, sin embargo, no afectan la viabilidad del negocio</w:t>
      </w:r>
      <w:r w:rsidR="00D63368" w:rsidRPr="005C2F1E">
        <w:rPr>
          <w:rFonts w:ascii="Arial" w:hAnsi="Arial" w:cs="Arial"/>
          <w:sz w:val="20"/>
          <w:szCs w:val="20"/>
        </w:rPr>
        <w:t>, por el contrario mejora la estructura de capital de la E.S.P</w:t>
      </w:r>
      <w:r w:rsidR="00820C6A" w:rsidRPr="005C2F1E">
        <w:rPr>
          <w:rFonts w:ascii="Arial" w:hAnsi="Arial" w:cs="Arial"/>
          <w:sz w:val="20"/>
          <w:szCs w:val="20"/>
        </w:rPr>
        <w:t>.</w:t>
      </w:r>
    </w:p>
    <w:p w:rsidR="00820C6A" w:rsidRPr="005C2F1E" w:rsidRDefault="00820C6A" w:rsidP="00783A91">
      <w:pPr>
        <w:spacing w:after="0" w:line="240" w:lineRule="auto"/>
        <w:jc w:val="both"/>
        <w:rPr>
          <w:rFonts w:ascii="Arial" w:hAnsi="Arial" w:cs="Arial"/>
          <w:sz w:val="20"/>
          <w:szCs w:val="20"/>
        </w:rPr>
      </w:pPr>
    </w:p>
    <w:p w:rsidR="002E0F85" w:rsidRPr="005C2F1E" w:rsidRDefault="008D090D" w:rsidP="008D090D">
      <w:pPr>
        <w:spacing w:after="0" w:line="240" w:lineRule="auto"/>
        <w:jc w:val="both"/>
        <w:rPr>
          <w:rFonts w:ascii="Arial" w:hAnsi="Arial" w:cs="Arial"/>
          <w:sz w:val="20"/>
          <w:szCs w:val="20"/>
        </w:rPr>
      </w:pPr>
      <w:bookmarkStart w:id="1" w:name="_Toc165107035"/>
      <w:bookmarkStart w:id="2" w:name="_Toc165107034"/>
      <w:r w:rsidRPr="005C2F1E">
        <w:rPr>
          <w:rFonts w:ascii="Arial" w:hAnsi="Arial" w:cs="Arial"/>
          <w:b/>
          <w:sz w:val="20"/>
          <w:szCs w:val="20"/>
        </w:rPr>
        <w:t xml:space="preserve">Evaluación de </w:t>
      </w:r>
      <w:r w:rsidR="004D53D2" w:rsidRPr="005C2F1E">
        <w:rPr>
          <w:rFonts w:ascii="Arial" w:hAnsi="Arial" w:cs="Arial"/>
          <w:b/>
          <w:sz w:val="20"/>
          <w:szCs w:val="20"/>
        </w:rPr>
        <w:t>gestión y resultados</w:t>
      </w:r>
      <w:bookmarkEnd w:id="1"/>
      <w:r w:rsidRPr="005C2F1E">
        <w:rPr>
          <w:rFonts w:ascii="Arial" w:hAnsi="Arial" w:cs="Arial"/>
          <w:b/>
          <w:sz w:val="20"/>
          <w:szCs w:val="20"/>
        </w:rPr>
        <w:t xml:space="preserve">: </w:t>
      </w:r>
      <w:r w:rsidRPr="005C2F1E">
        <w:rPr>
          <w:rFonts w:ascii="Arial" w:hAnsi="Arial" w:cs="Arial"/>
          <w:sz w:val="20"/>
          <w:szCs w:val="20"/>
        </w:rPr>
        <w:t xml:space="preserve">la SSPD tiene fijados cinco (5) indicadores de gestión para las empresas generadoras, distribuidoras y comercializadoras, resolución 072 de 2002, modificada por la resolución 034 de 2004.  </w:t>
      </w:r>
      <w:r w:rsidR="002E0F85" w:rsidRPr="005C2F1E">
        <w:rPr>
          <w:rFonts w:ascii="Arial" w:hAnsi="Arial" w:cs="Arial"/>
          <w:sz w:val="20"/>
          <w:szCs w:val="20"/>
        </w:rPr>
        <w:t xml:space="preserve"> </w:t>
      </w:r>
      <w:r w:rsidR="006343D6" w:rsidRPr="005C2F1E">
        <w:rPr>
          <w:rFonts w:ascii="Arial" w:hAnsi="Arial" w:cs="Arial"/>
          <w:sz w:val="20"/>
          <w:szCs w:val="20"/>
        </w:rPr>
        <w:t xml:space="preserve">De los </w:t>
      </w:r>
      <w:r w:rsidRPr="005C2F1E">
        <w:rPr>
          <w:rFonts w:ascii="Arial" w:hAnsi="Arial" w:cs="Arial"/>
          <w:sz w:val="20"/>
          <w:szCs w:val="20"/>
        </w:rPr>
        <w:t xml:space="preserve">cinco </w:t>
      </w:r>
      <w:r w:rsidR="002E0F85" w:rsidRPr="005C2F1E">
        <w:rPr>
          <w:rFonts w:ascii="Arial" w:hAnsi="Arial" w:cs="Arial"/>
          <w:sz w:val="20"/>
          <w:szCs w:val="20"/>
        </w:rPr>
        <w:t xml:space="preserve">indicadores establecidos por la SSPD </w:t>
      </w:r>
      <w:r w:rsidRPr="005C2F1E">
        <w:rPr>
          <w:rFonts w:ascii="Arial" w:hAnsi="Arial" w:cs="Arial"/>
          <w:sz w:val="20"/>
          <w:szCs w:val="20"/>
        </w:rPr>
        <w:t>la</w:t>
      </w:r>
      <w:r w:rsidR="006343D6" w:rsidRPr="005C2F1E">
        <w:rPr>
          <w:rFonts w:ascii="Arial" w:hAnsi="Arial" w:cs="Arial"/>
          <w:sz w:val="20"/>
          <w:szCs w:val="20"/>
        </w:rPr>
        <w:t xml:space="preserve"> CHEC </w:t>
      </w:r>
      <w:r w:rsidR="002E0F85" w:rsidRPr="005C2F1E">
        <w:rPr>
          <w:rFonts w:ascii="Arial" w:hAnsi="Arial" w:cs="Arial"/>
          <w:sz w:val="20"/>
          <w:szCs w:val="20"/>
        </w:rPr>
        <w:t>cumple con dos, los tres restantes no cumplen con los referentes, así:</w:t>
      </w:r>
    </w:p>
    <w:p w:rsidR="008D090D" w:rsidRPr="005C2F1E" w:rsidRDefault="008D090D" w:rsidP="008D090D">
      <w:pPr>
        <w:pStyle w:val="Default"/>
        <w:jc w:val="both"/>
        <w:rPr>
          <w:rFonts w:ascii="Arial" w:hAnsi="Arial" w:cs="Arial"/>
          <w:iCs/>
          <w:color w:val="auto"/>
          <w:sz w:val="20"/>
          <w:szCs w:val="20"/>
        </w:rPr>
      </w:pPr>
    </w:p>
    <w:tbl>
      <w:tblPr>
        <w:tblStyle w:val="Tablaconcuadrcula"/>
        <w:tblW w:w="0" w:type="auto"/>
        <w:tblInd w:w="-5" w:type="dxa"/>
        <w:tblLook w:val="04A0" w:firstRow="1" w:lastRow="0" w:firstColumn="1" w:lastColumn="0" w:noHBand="0" w:noVBand="1"/>
      </w:tblPr>
      <w:tblGrid>
        <w:gridCol w:w="4447"/>
        <w:gridCol w:w="2542"/>
        <w:gridCol w:w="2184"/>
      </w:tblGrid>
      <w:tr w:rsidR="008D090D" w:rsidRPr="005C2F1E" w:rsidTr="0085321A">
        <w:trPr>
          <w:trHeight w:val="131"/>
        </w:trPr>
        <w:tc>
          <w:tcPr>
            <w:tcW w:w="4447" w:type="dxa"/>
          </w:tcPr>
          <w:p w:rsidR="008D090D" w:rsidRPr="005C2F1E" w:rsidRDefault="008D090D" w:rsidP="0085321A">
            <w:pPr>
              <w:pStyle w:val="Default"/>
              <w:jc w:val="center"/>
              <w:rPr>
                <w:rFonts w:ascii="Arial" w:hAnsi="Arial" w:cs="Arial"/>
                <w:b/>
                <w:iCs/>
                <w:color w:val="auto"/>
                <w:sz w:val="16"/>
                <w:szCs w:val="16"/>
              </w:rPr>
            </w:pPr>
            <w:r w:rsidRPr="005C2F1E">
              <w:rPr>
                <w:rFonts w:ascii="Arial" w:hAnsi="Arial" w:cs="Arial"/>
                <w:b/>
                <w:iCs/>
                <w:color w:val="auto"/>
                <w:sz w:val="16"/>
                <w:szCs w:val="16"/>
              </w:rPr>
              <w:t>INDICADOR</w:t>
            </w:r>
          </w:p>
        </w:tc>
        <w:tc>
          <w:tcPr>
            <w:tcW w:w="2542" w:type="dxa"/>
          </w:tcPr>
          <w:p w:rsidR="008D090D" w:rsidRPr="005C2F1E" w:rsidRDefault="008D090D" w:rsidP="0085321A">
            <w:pPr>
              <w:pStyle w:val="Default"/>
              <w:jc w:val="center"/>
              <w:rPr>
                <w:rFonts w:ascii="Arial" w:hAnsi="Arial" w:cs="Arial"/>
                <w:b/>
                <w:iCs/>
                <w:color w:val="auto"/>
                <w:sz w:val="16"/>
                <w:szCs w:val="16"/>
              </w:rPr>
            </w:pPr>
            <w:r w:rsidRPr="005C2F1E">
              <w:rPr>
                <w:rFonts w:ascii="Arial" w:hAnsi="Arial" w:cs="Arial"/>
                <w:b/>
                <w:iCs/>
                <w:color w:val="auto"/>
                <w:sz w:val="16"/>
                <w:szCs w:val="16"/>
              </w:rPr>
              <w:t>RESULTADO OBTENIDO</w:t>
            </w:r>
          </w:p>
          <w:p w:rsidR="008D090D" w:rsidRPr="005C2F1E" w:rsidRDefault="008D090D" w:rsidP="0085321A">
            <w:pPr>
              <w:pStyle w:val="Default"/>
              <w:jc w:val="center"/>
              <w:rPr>
                <w:rFonts w:ascii="Arial" w:hAnsi="Arial" w:cs="Arial"/>
                <w:b/>
                <w:iCs/>
                <w:color w:val="auto"/>
                <w:sz w:val="16"/>
                <w:szCs w:val="16"/>
              </w:rPr>
            </w:pPr>
            <w:r w:rsidRPr="005C2F1E">
              <w:rPr>
                <w:rFonts w:ascii="Arial" w:hAnsi="Arial" w:cs="Arial"/>
                <w:b/>
                <w:iCs/>
                <w:color w:val="auto"/>
                <w:sz w:val="16"/>
                <w:szCs w:val="16"/>
              </w:rPr>
              <w:t>2014</w:t>
            </w:r>
          </w:p>
        </w:tc>
        <w:tc>
          <w:tcPr>
            <w:tcW w:w="2184" w:type="dxa"/>
          </w:tcPr>
          <w:p w:rsidR="008D090D" w:rsidRPr="005C2F1E" w:rsidRDefault="008D090D" w:rsidP="0085321A">
            <w:pPr>
              <w:pStyle w:val="Default"/>
              <w:jc w:val="center"/>
              <w:rPr>
                <w:rFonts w:ascii="Arial" w:hAnsi="Arial" w:cs="Arial"/>
                <w:b/>
                <w:iCs/>
                <w:color w:val="auto"/>
                <w:sz w:val="16"/>
                <w:szCs w:val="16"/>
              </w:rPr>
            </w:pPr>
            <w:r w:rsidRPr="005C2F1E">
              <w:rPr>
                <w:rFonts w:ascii="Arial" w:hAnsi="Arial" w:cs="Arial"/>
                <w:b/>
                <w:iCs/>
                <w:color w:val="auto"/>
                <w:sz w:val="16"/>
                <w:szCs w:val="16"/>
              </w:rPr>
              <w:t>REFERENTE</w:t>
            </w:r>
          </w:p>
          <w:p w:rsidR="008D090D" w:rsidRPr="005C2F1E" w:rsidRDefault="008D090D" w:rsidP="0085321A">
            <w:pPr>
              <w:pStyle w:val="Default"/>
              <w:jc w:val="center"/>
              <w:rPr>
                <w:rFonts w:ascii="Arial" w:hAnsi="Arial" w:cs="Arial"/>
                <w:b/>
                <w:iCs/>
                <w:color w:val="auto"/>
                <w:sz w:val="16"/>
                <w:szCs w:val="16"/>
              </w:rPr>
            </w:pPr>
            <w:r w:rsidRPr="005C2F1E">
              <w:rPr>
                <w:rFonts w:ascii="Arial" w:hAnsi="Arial" w:cs="Arial"/>
                <w:b/>
                <w:iCs/>
                <w:color w:val="auto"/>
                <w:sz w:val="16"/>
                <w:szCs w:val="16"/>
              </w:rPr>
              <w:t>2014</w:t>
            </w:r>
          </w:p>
        </w:tc>
      </w:tr>
      <w:tr w:rsidR="008D090D" w:rsidRPr="005C2F1E" w:rsidTr="0085321A">
        <w:trPr>
          <w:trHeight w:val="197"/>
        </w:trPr>
        <w:tc>
          <w:tcPr>
            <w:tcW w:w="4447" w:type="dxa"/>
          </w:tcPr>
          <w:p w:rsidR="008D090D" w:rsidRPr="005C2F1E" w:rsidRDefault="008D090D" w:rsidP="0085321A">
            <w:pPr>
              <w:pStyle w:val="Default"/>
              <w:jc w:val="both"/>
              <w:rPr>
                <w:rFonts w:ascii="Arial" w:hAnsi="Arial" w:cs="Arial"/>
                <w:iCs/>
                <w:color w:val="auto"/>
                <w:sz w:val="16"/>
                <w:szCs w:val="16"/>
              </w:rPr>
            </w:pPr>
            <w:r w:rsidRPr="005C2F1E">
              <w:rPr>
                <w:rFonts w:ascii="Arial" w:hAnsi="Arial" w:cs="Arial"/>
                <w:iCs/>
                <w:color w:val="auto"/>
                <w:sz w:val="16"/>
                <w:szCs w:val="16"/>
              </w:rPr>
              <w:t>Rotación de cuentas por cobrar</w:t>
            </w:r>
          </w:p>
        </w:tc>
        <w:tc>
          <w:tcPr>
            <w:tcW w:w="2542" w:type="dxa"/>
          </w:tcPr>
          <w:p w:rsidR="008D090D" w:rsidRPr="005C2F1E" w:rsidRDefault="006343D6" w:rsidP="0085321A">
            <w:pPr>
              <w:pStyle w:val="Default"/>
              <w:jc w:val="center"/>
              <w:rPr>
                <w:rFonts w:ascii="Arial" w:hAnsi="Arial" w:cs="Arial"/>
                <w:iCs/>
                <w:color w:val="auto"/>
                <w:sz w:val="16"/>
                <w:szCs w:val="16"/>
              </w:rPr>
            </w:pPr>
            <w:r w:rsidRPr="005C2F1E">
              <w:rPr>
                <w:rFonts w:ascii="Arial" w:hAnsi="Arial" w:cs="Arial"/>
                <w:iCs/>
                <w:color w:val="auto"/>
                <w:sz w:val="16"/>
                <w:szCs w:val="16"/>
              </w:rPr>
              <w:t>54,49</w:t>
            </w:r>
            <w:r w:rsidR="008D090D" w:rsidRPr="005C2F1E">
              <w:rPr>
                <w:rFonts w:ascii="Arial" w:hAnsi="Arial" w:cs="Arial"/>
                <w:iCs/>
                <w:color w:val="auto"/>
                <w:sz w:val="16"/>
                <w:szCs w:val="16"/>
              </w:rPr>
              <w:t xml:space="preserve"> días</w:t>
            </w:r>
          </w:p>
        </w:tc>
        <w:tc>
          <w:tcPr>
            <w:tcW w:w="2184" w:type="dxa"/>
          </w:tcPr>
          <w:p w:rsidR="008D090D" w:rsidRPr="005C2F1E" w:rsidRDefault="008D090D" w:rsidP="0085321A">
            <w:pPr>
              <w:pStyle w:val="Default"/>
              <w:jc w:val="center"/>
              <w:rPr>
                <w:rFonts w:ascii="Arial" w:hAnsi="Arial" w:cs="Arial"/>
                <w:iCs/>
                <w:color w:val="auto"/>
                <w:sz w:val="16"/>
                <w:szCs w:val="16"/>
              </w:rPr>
            </w:pPr>
            <w:r w:rsidRPr="005C2F1E">
              <w:rPr>
                <w:rFonts w:ascii="Arial" w:hAnsi="Arial" w:cs="Arial"/>
                <w:iCs/>
                <w:color w:val="auto"/>
                <w:sz w:val="16"/>
                <w:szCs w:val="16"/>
              </w:rPr>
              <w:t>49,00 días</w:t>
            </w:r>
          </w:p>
        </w:tc>
      </w:tr>
      <w:tr w:rsidR="008D090D" w:rsidRPr="005C2F1E" w:rsidTr="0085321A">
        <w:trPr>
          <w:trHeight w:val="131"/>
        </w:trPr>
        <w:tc>
          <w:tcPr>
            <w:tcW w:w="4447" w:type="dxa"/>
          </w:tcPr>
          <w:p w:rsidR="008D090D" w:rsidRPr="005C2F1E" w:rsidRDefault="008D090D" w:rsidP="0085321A">
            <w:pPr>
              <w:pStyle w:val="Default"/>
              <w:jc w:val="both"/>
              <w:rPr>
                <w:rFonts w:ascii="Arial" w:hAnsi="Arial" w:cs="Arial"/>
                <w:iCs/>
                <w:color w:val="auto"/>
                <w:sz w:val="16"/>
                <w:szCs w:val="16"/>
              </w:rPr>
            </w:pPr>
            <w:r w:rsidRPr="005C2F1E">
              <w:rPr>
                <w:rFonts w:ascii="Arial" w:hAnsi="Arial" w:cs="Arial"/>
                <w:iCs/>
                <w:color w:val="auto"/>
                <w:sz w:val="16"/>
                <w:szCs w:val="16"/>
              </w:rPr>
              <w:t>Razón corriente</w:t>
            </w:r>
          </w:p>
        </w:tc>
        <w:tc>
          <w:tcPr>
            <w:tcW w:w="2542" w:type="dxa"/>
          </w:tcPr>
          <w:p w:rsidR="008D090D" w:rsidRPr="005C2F1E" w:rsidRDefault="006343D6" w:rsidP="006343D6">
            <w:pPr>
              <w:pStyle w:val="Default"/>
              <w:jc w:val="center"/>
              <w:rPr>
                <w:rFonts w:ascii="Arial" w:hAnsi="Arial" w:cs="Arial"/>
                <w:iCs/>
                <w:color w:val="auto"/>
                <w:sz w:val="16"/>
                <w:szCs w:val="16"/>
              </w:rPr>
            </w:pPr>
            <w:r w:rsidRPr="005C2F1E">
              <w:rPr>
                <w:rFonts w:ascii="Arial" w:hAnsi="Arial" w:cs="Arial"/>
                <w:iCs/>
                <w:color w:val="auto"/>
                <w:sz w:val="16"/>
                <w:szCs w:val="16"/>
              </w:rPr>
              <w:t>0,69</w:t>
            </w:r>
            <w:r w:rsidR="008D090D" w:rsidRPr="005C2F1E">
              <w:rPr>
                <w:rFonts w:ascii="Arial" w:hAnsi="Arial" w:cs="Arial"/>
                <w:iCs/>
                <w:color w:val="auto"/>
                <w:sz w:val="16"/>
                <w:szCs w:val="16"/>
              </w:rPr>
              <w:t xml:space="preserve"> veces</w:t>
            </w:r>
          </w:p>
        </w:tc>
        <w:tc>
          <w:tcPr>
            <w:tcW w:w="2184" w:type="dxa"/>
          </w:tcPr>
          <w:p w:rsidR="008D090D" w:rsidRPr="005C2F1E" w:rsidRDefault="008D090D" w:rsidP="0085321A">
            <w:pPr>
              <w:pStyle w:val="Default"/>
              <w:jc w:val="center"/>
              <w:rPr>
                <w:rFonts w:ascii="Arial" w:hAnsi="Arial" w:cs="Arial"/>
                <w:iCs/>
                <w:color w:val="auto"/>
                <w:sz w:val="16"/>
                <w:szCs w:val="16"/>
              </w:rPr>
            </w:pPr>
            <w:r w:rsidRPr="005C2F1E">
              <w:rPr>
                <w:rFonts w:ascii="Arial" w:hAnsi="Arial" w:cs="Arial"/>
                <w:iCs/>
                <w:color w:val="auto"/>
                <w:sz w:val="16"/>
                <w:szCs w:val="16"/>
              </w:rPr>
              <w:t>1,80 veces</w:t>
            </w:r>
          </w:p>
        </w:tc>
      </w:tr>
      <w:tr w:rsidR="008D090D" w:rsidRPr="005C2F1E" w:rsidTr="0085321A">
        <w:trPr>
          <w:trHeight w:val="131"/>
        </w:trPr>
        <w:tc>
          <w:tcPr>
            <w:tcW w:w="4447" w:type="dxa"/>
          </w:tcPr>
          <w:p w:rsidR="008D090D" w:rsidRPr="005C2F1E" w:rsidRDefault="008D090D" w:rsidP="0085321A">
            <w:pPr>
              <w:pStyle w:val="Default"/>
              <w:jc w:val="both"/>
              <w:rPr>
                <w:rFonts w:ascii="Arial" w:hAnsi="Arial" w:cs="Arial"/>
                <w:iCs/>
                <w:color w:val="auto"/>
                <w:sz w:val="16"/>
                <w:szCs w:val="16"/>
              </w:rPr>
            </w:pPr>
            <w:r w:rsidRPr="005C2F1E">
              <w:rPr>
                <w:rFonts w:ascii="Arial" w:hAnsi="Arial" w:cs="Arial"/>
                <w:iCs/>
                <w:color w:val="auto"/>
                <w:sz w:val="16"/>
                <w:szCs w:val="16"/>
              </w:rPr>
              <w:t>Cubrimiento de gastos financieros</w:t>
            </w:r>
          </w:p>
        </w:tc>
        <w:tc>
          <w:tcPr>
            <w:tcW w:w="2542" w:type="dxa"/>
          </w:tcPr>
          <w:p w:rsidR="008D090D" w:rsidRPr="005C2F1E" w:rsidRDefault="008D090D" w:rsidP="006343D6">
            <w:pPr>
              <w:pStyle w:val="Default"/>
              <w:jc w:val="center"/>
              <w:rPr>
                <w:rFonts w:ascii="Arial" w:hAnsi="Arial" w:cs="Arial"/>
                <w:iCs/>
                <w:color w:val="auto"/>
                <w:sz w:val="16"/>
                <w:szCs w:val="16"/>
              </w:rPr>
            </w:pPr>
            <w:r w:rsidRPr="005C2F1E">
              <w:rPr>
                <w:rFonts w:ascii="Arial" w:hAnsi="Arial" w:cs="Arial"/>
                <w:iCs/>
                <w:color w:val="auto"/>
                <w:sz w:val="16"/>
                <w:szCs w:val="16"/>
              </w:rPr>
              <w:t>1</w:t>
            </w:r>
            <w:r w:rsidR="006343D6" w:rsidRPr="005C2F1E">
              <w:rPr>
                <w:rFonts w:ascii="Arial" w:hAnsi="Arial" w:cs="Arial"/>
                <w:iCs/>
                <w:color w:val="auto"/>
                <w:sz w:val="16"/>
                <w:szCs w:val="16"/>
              </w:rPr>
              <w:t>9,48</w:t>
            </w:r>
            <w:r w:rsidRPr="005C2F1E">
              <w:rPr>
                <w:rFonts w:ascii="Arial" w:hAnsi="Arial" w:cs="Arial"/>
                <w:iCs/>
                <w:color w:val="auto"/>
                <w:sz w:val="16"/>
                <w:szCs w:val="16"/>
              </w:rPr>
              <w:t xml:space="preserve"> veces</w:t>
            </w:r>
          </w:p>
        </w:tc>
        <w:tc>
          <w:tcPr>
            <w:tcW w:w="2184" w:type="dxa"/>
          </w:tcPr>
          <w:p w:rsidR="008D090D" w:rsidRPr="005C2F1E" w:rsidRDefault="008D090D" w:rsidP="0085321A">
            <w:pPr>
              <w:pStyle w:val="Default"/>
              <w:jc w:val="center"/>
              <w:rPr>
                <w:rFonts w:ascii="Arial" w:hAnsi="Arial" w:cs="Arial"/>
                <w:iCs/>
                <w:color w:val="auto"/>
                <w:sz w:val="16"/>
                <w:szCs w:val="16"/>
              </w:rPr>
            </w:pPr>
            <w:r w:rsidRPr="005C2F1E">
              <w:rPr>
                <w:rFonts w:ascii="Arial" w:hAnsi="Arial" w:cs="Arial"/>
                <w:iCs/>
                <w:color w:val="auto"/>
                <w:sz w:val="16"/>
                <w:szCs w:val="16"/>
              </w:rPr>
              <w:t>24 veces</w:t>
            </w:r>
          </w:p>
        </w:tc>
      </w:tr>
    </w:tbl>
    <w:p w:rsidR="008D090D" w:rsidRPr="005C2F1E" w:rsidRDefault="008D090D" w:rsidP="008D090D">
      <w:pPr>
        <w:pStyle w:val="Default"/>
        <w:jc w:val="both"/>
        <w:rPr>
          <w:rFonts w:ascii="Arial" w:hAnsi="Arial" w:cs="Arial"/>
          <w:iCs/>
          <w:color w:val="auto"/>
          <w:sz w:val="20"/>
          <w:szCs w:val="20"/>
        </w:rPr>
      </w:pPr>
    </w:p>
    <w:p w:rsidR="00CA642B" w:rsidRPr="005C2F1E" w:rsidRDefault="00CA642B" w:rsidP="00CA642B">
      <w:pPr>
        <w:pStyle w:val="Default"/>
        <w:numPr>
          <w:ilvl w:val="0"/>
          <w:numId w:val="1"/>
        </w:numPr>
        <w:jc w:val="both"/>
        <w:rPr>
          <w:rFonts w:ascii="Arial" w:hAnsi="Arial" w:cs="Arial"/>
          <w:iCs/>
          <w:color w:val="auto"/>
          <w:sz w:val="20"/>
          <w:szCs w:val="20"/>
        </w:rPr>
      </w:pPr>
      <w:r w:rsidRPr="005C2F1E">
        <w:rPr>
          <w:rFonts w:ascii="Arial" w:hAnsi="Arial" w:cs="Arial"/>
          <w:iCs/>
          <w:color w:val="auto"/>
          <w:sz w:val="20"/>
          <w:szCs w:val="20"/>
        </w:rPr>
        <w:t>Rotación de cuentas por cobrar</w:t>
      </w:r>
      <w:r w:rsidR="00214C84" w:rsidRPr="005C2F1E">
        <w:rPr>
          <w:rFonts w:ascii="Arial" w:hAnsi="Arial" w:cs="Arial"/>
          <w:iCs/>
          <w:color w:val="auto"/>
          <w:sz w:val="20"/>
          <w:szCs w:val="20"/>
        </w:rPr>
        <w:t xml:space="preserve">: Si bien, no se cumple con el referente establecido la situación </w:t>
      </w:r>
      <w:r w:rsidRPr="005C2F1E">
        <w:rPr>
          <w:rFonts w:ascii="Arial" w:hAnsi="Arial" w:cs="Arial"/>
          <w:iCs/>
          <w:color w:val="auto"/>
          <w:sz w:val="20"/>
          <w:szCs w:val="20"/>
        </w:rPr>
        <w:t xml:space="preserve">obedece principalmente </w:t>
      </w:r>
      <w:r w:rsidR="00214C84" w:rsidRPr="005C2F1E">
        <w:rPr>
          <w:rFonts w:ascii="Arial" w:hAnsi="Arial" w:cs="Arial"/>
          <w:iCs/>
          <w:color w:val="auto"/>
          <w:sz w:val="20"/>
          <w:szCs w:val="20"/>
        </w:rPr>
        <w:t xml:space="preserve">a la forma como se realiza el cálculo considerando la totalidad de la cartera, que incluye el </w:t>
      </w:r>
      <w:r w:rsidRPr="005C2F1E">
        <w:rPr>
          <w:rFonts w:ascii="Arial" w:hAnsi="Arial" w:cs="Arial"/>
          <w:iCs/>
          <w:color w:val="auto"/>
          <w:sz w:val="20"/>
          <w:szCs w:val="20"/>
        </w:rPr>
        <w:t xml:space="preserve">estimado de energía consumida no facturada a los usuarios al cierre por valor de $30.245 millones, </w:t>
      </w:r>
      <w:r w:rsidR="00214C84" w:rsidRPr="005C2F1E">
        <w:rPr>
          <w:rFonts w:ascii="Arial" w:hAnsi="Arial" w:cs="Arial"/>
          <w:iCs/>
          <w:color w:val="auto"/>
          <w:sz w:val="20"/>
          <w:szCs w:val="20"/>
        </w:rPr>
        <w:t xml:space="preserve">en el caso de </w:t>
      </w:r>
      <w:r w:rsidRPr="005C2F1E">
        <w:rPr>
          <w:rFonts w:ascii="Arial" w:hAnsi="Arial" w:cs="Arial"/>
          <w:iCs/>
          <w:color w:val="auto"/>
          <w:sz w:val="20"/>
          <w:szCs w:val="20"/>
        </w:rPr>
        <w:t xml:space="preserve">no considerarse en los ingresos y en la cartera permitiría que el indicador de rotación bajara a 34,16 días, cumpliendo con el referente establecido. </w:t>
      </w:r>
      <w:r w:rsidR="00214C84" w:rsidRPr="005C2F1E">
        <w:rPr>
          <w:rFonts w:ascii="Arial" w:hAnsi="Arial" w:cs="Arial"/>
          <w:iCs/>
          <w:color w:val="auto"/>
          <w:sz w:val="20"/>
          <w:szCs w:val="20"/>
        </w:rPr>
        <w:t xml:space="preserve">Lo anterior, se sustenta en los niveles de cartera vencida siendo la superior a 90 días equivalente al 9,81% del total de la cartera. </w:t>
      </w:r>
    </w:p>
    <w:p w:rsidR="00214C84" w:rsidRPr="005C2F1E" w:rsidRDefault="00214C84" w:rsidP="00214C84">
      <w:pPr>
        <w:pStyle w:val="Default"/>
        <w:ind w:left="360"/>
        <w:jc w:val="both"/>
        <w:rPr>
          <w:rFonts w:ascii="Arial" w:hAnsi="Arial" w:cs="Arial"/>
          <w:iCs/>
          <w:color w:val="auto"/>
          <w:sz w:val="20"/>
          <w:szCs w:val="20"/>
        </w:rPr>
      </w:pPr>
    </w:p>
    <w:p w:rsidR="00CA642B" w:rsidRPr="005C2F1E" w:rsidRDefault="00CA642B" w:rsidP="00155AF1">
      <w:pPr>
        <w:pStyle w:val="Default"/>
        <w:numPr>
          <w:ilvl w:val="0"/>
          <w:numId w:val="1"/>
        </w:numPr>
        <w:jc w:val="both"/>
        <w:rPr>
          <w:rFonts w:ascii="Arial" w:hAnsi="Arial" w:cs="Arial"/>
          <w:iCs/>
          <w:color w:val="auto"/>
          <w:sz w:val="20"/>
          <w:szCs w:val="20"/>
        </w:rPr>
      </w:pPr>
      <w:r w:rsidRPr="005C2F1E">
        <w:rPr>
          <w:rFonts w:ascii="Arial" w:hAnsi="Arial" w:cs="Arial"/>
          <w:iCs/>
          <w:color w:val="auto"/>
          <w:sz w:val="20"/>
          <w:szCs w:val="20"/>
        </w:rPr>
        <w:t>La razón corriente con 0,69 veces y un referente de 1,80, cuyo factor principal para disminuir correspondió al incremento en las cuentas por pagar a socios en $119.058 millones por concepto de valor por restitución de la prima en colocación de acciones según decis</w:t>
      </w:r>
      <w:r w:rsidR="00161A7E" w:rsidRPr="005C2F1E">
        <w:rPr>
          <w:rFonts w:ascii="Arial" w:hAnsi="Arial" w:cs="Arial"/>
          <w:iCs/>
          <w:color w:val="auto"/>
          <w:sz w:val="20"/>
          <w:szCs w:val="20"/>
        </w:rPr>
        <w:t xml:space="preserve">ión de Asamblea General de accionistas, de acuerdo a lo que se indica en el acta Nro. 86 del 10 de abril de 2014 el sustento para la devolución fue el siguiente: “Optimizar la estructura de capital adecuada a las condiciones operativas y </w:t>
      </w:r>
      <w:r w:rsidR="00161A7E" w:rsidRPr="005C2F1E">
        <w:rPr>
          <w:rFonts w:ascii="Arial" w:hAnsi="Arial" w:cs="Arial"/>
          <w:iCs/>
          <w:color w:val="auto"/>
          <w:sz w:val="20"/>
          <w:szCs w:val="20"/>
        </w:rPr>
        <w:lastRenderedPageBreak/>
        <w:t>estrategia de la CHEC, bajo los lineamientos de EPM, su casa matriz, asociados al objetivo estratégico de incrementar valor para los grupos de interés. La E.S.P., históricamente ha financiado sus operaciones principalmente con recursos de sus accionistas y no ha presentado endeudamiento financiero, hasta el 2013 la relación pasivo – patrimonio era 20 -80. En busca de una adecuada estructura de capital de la empresa entre los recursos aportados por los accionistas y los otros aportantes de capital, se propone reducir el patrimonio, mediante el reintegro a los accionistas de la totalidad de la prima en colocación de acciones, y buscar recursos de deuda por valor de $240.000 millones. La reducción propuesta no pone en riesgo el respaldo de las transacciones de CHEC generador y comercializador.</w:t>
      </w:r>
      <w:r w:rsidR="00155AF1" w:rsidRPr="005C2F1E">
        <w:rPr>
          <w:rFonts w:ascii="Arial" w:hAnsi="Arial" w:cs="Arial"/>
          <w:iCs/>
          <w:color w:val="auto"/>
          <w:sz w:val="20"/>
          <w:szCs w:val="20"/>
        </w:rPr>
        <w:t>”</w:t>
      </w:r>
      <w:r w:rsidR="00155AF1" w:rsidRPr="005C2F1E">
        <w:rPr>
          <w:rStyle w:val="Refdenotaalpie"/>
          <w:rFonts w:ascii="Arial" w:hAnsi="Arial" w:cs="Arial"/>
          <w:iCs/>
          <w:color w:val="auto"/>
          <w:sz w:val="20"/>
          <w:szCs w:val="20"/>
        </w:rPr>
        <w:footnoteReference w:id="1"/>
      </w:r>
      <w:r w:rsidR="00161A7E" w:rsidRPr="005C2F1E">
        <w:rPr>
          <w:rFonts w:ascii="Arial" w:hAnsi="Arial" w:cs="Arial"/>
          <w:iCs/>
          <w:color w:val="auto"/>
          <w:sz w:val="20"/>
          <w:szCs w:val="20"/>
        </w:rPr>
        <w:t xml:space="preserve"> </w:t>
      </w:r>
    </w:p>
    <w:p w:rsidR="00214C84" w:rsidRPr="005C2F1E" w:rsidRDefault="00214C84" w:rsidP="00155AF1">
      <w:pPr>
        <w:spacing w:after="0" w:line="240" w:lineRule="auto"/>
        <w:ind w:left="360"/>
        <w:rPr>
          <w:rFonts w:ascii="Arial" w:hAnsi="Arial" w:cs="Arial"/>
          <w:iCs/>
          <w:sz w:val="20"/>
          <w:szCs w:val="20"/>
        </w:rPr>
      </w:pPr>
    </w:p>
    <w:p w:rsidR="00155AF1" w:rsidRPr="005C2F1E" w:rsidRDefault="00155AF1" w:rsidP="00155AF1">
      <w:pPr>
        <w:spacing w:after="0" w:line="240" w:lineRule="auto"/>
        <w:ind w:left="360"/>
        <w:jc w:val="both"/>
        <w:rPr>
          <w:rFonts w:ascii="Arial" w:eastAsia="Calibri" w:hAnsi="Arial" w:cs="Arial"/>
          <w:iCs/>
          <w:sz w:val="20"/>
          <w:szCs w:val="20"/>
        </w:rPr>
      </w:pPr>
      <w:r w:rsidRPr="005C2F1E">
        <w:rPr>
          <w:rFonts w:ascii="Arial" w:eastAsia="Calibri" w:hAnsi="Arial" w:cs="Arial"/>
          <w:iCs/>
          <w:sz w:val="20"/>
          <w:szCs w:val="20"/>
        </w:rPr>
        <w:t xml:space="preserve">Al respecto es importante indicar que la entidad utilizó como fuentes para fondear el pago a sus accionistas </w:t>
      </w:r>
      <w:r w:rsidR="005A55C4" w:rsidRPr="005C2F1E">
        <w:rPr>
          <w:rFonts w:ascii="Arial" w:eastAsia="Calibri" w:hAnsi="Arial" w:cs="Arial"/>
          <w:iCs/>
          <w:sz w:val="20"/>
          <w:szCs w:val="20"/>
        </w:rPr>
        <w:t xml:space="preserve"> aumento en </w:t>
      </w:r>
      <w:r w:rsidRPr="005C2F1E">
        <w:rPr>
          <w:rFonts w:ascii="Arial" w:eastAsia="Calibri" w:hAnsi="Arial" w:cs="Arial"/>
          <w:iCs/>
          <w:sz w:val="20"/>
          <w:szCs w:val="20"/>
        </w:rPr>
        <w:t xml:space="preserve">obligaciones financieras, </w:t>
      </w:r>
      <w:r w:rsidR="005A55C4" w:rsidRPr="005C2F1E">
        <w:rPr>
          <w:rFonts w:ascii="Arial" w:eastAsia="Calibri" w:hAnsi="Arial" w:cs="Arial"/>
          <w:iCs/>
          <w:sz w:val="20"/>
          <w:szCs w:val="20"/>
        </w:rPr>
        <w:t>financiación</w:t>
      </w:r>
      <w:r w:rsidRPr="005C2F1E">
        <w:rPr>
          <w:rFonts w:ascii="Arial" w:eastAsia="Calibri" w:hAnsi="Arial" w:cs="Arial"/>
          <w:iCs/>
          <w:sz w:val="20"/>
          <w:szCs w:val="20"/>
        </w:rPr>
        <w:t xml:space="preserve"> con EPM y retiro</w:t>
      </w:r>
      <w:r w:rsidR="005A55C4" w:rsidRPr="005C2F1E">
        <w:rPr>
          <w:rFonts w:ascii="Arial" w:eastAsia="Calibri" w:hAnsi="Arial" w:cs="Arial"/>
          <w:iCs/>
          <w:sz w:val="20"/>
          <w:szCs w:val="20"/>
        </w:rPr>
        <w:t xml:space="preserve"> de inversiones no estratégicas (ISAGEN). </w:t>
      </w:r>
    </w:p>
    <w:p w:rsidR="00214C84" w:rsidRPr="005C2F1E" w:rsidRDefault="00214C84" w:rsidP="00155AF1">
      <w:pPr>
        <w:pStyle w:val="Default"/>
        <w:jc w:val="both"/>
        <w:rPr>
          <w:rFonts w:ascii="Arial" w:hAnsi="Arial" w:cs="Arial"/>
          <w:iCs/>
          <w:color w:val="auto"/>
          <w:sz w:val="20"/>
          <w:szCs w:val="20"/>
        </w:rPr>
      </w:pPr>
    </w:p>
    <w:p w:rsidR="00CA642B" w:rsidRPr="005C2F1E" w:rsidRDefault="00CA642B" w:rsidP="00155AF1">
      <w:pPr>
        <w:pStyle w:val="Default"/>
        <w:numPr>
          <w:ilvl w:val="0"/>
          <w:numId w:val="1"/>
        </w:numPr>
        <w:jc w:val="both"/>
        <w:rPr>
          <w:rFonts w:ascii="Arial" w:hAnsi="Arial" w:cs="Arial"/>
          <w:iCs/>
          <w:color w:val="auto"/>
          <w:sz w:val="20"/>
          <w:szCs w:val="20"/>
        </w:rPr>
      </w:pPr>
      <w:r w:rsidRPr="005C2F1E">
        <w:rPr>
          <w:rFonts w:ascii="Arial" w:hAnsi="Arial" w:cs="Arial"/>
          <w:iCs/>
          <w:color w:val="auto"/>
          <w:sz w:val="20"/>
          <w:szCs w:val="20"/>
        </w:rPr>
        <w:t xml:space="preserve">El indicador de cubrimiento de gastos financieros con un referente de 24 y un resultado de 19,48, es de mencionar que la entidad decidió utilizar endeudamiento con costo financiero en 2014 con el fin de obtener recursos para los proyectos de inversión, sin embargo, el resultado es adecuado, dado que el ebitda alcanza a cubrir 19,48 veces los gastos financieros por concepto de intereses. </w:t>
      </w:r>
      <w:r w:rsidR="00C01130" w:rsidRPr="005C2F1E">
        <w:rPr>
          <w:rFonts w:ascii="Arial" w:hAnsi="Arial" w:cs="Arial"/>
          <w:iCs/>
          <w:color w:val="auto"/>
          <w:sz w:val="20"/>
          <w:szCs w:val="20"/>
        </w:rPr>
        <w:t>De igual forma, al analizar la deuda financiera total sobre el ebitda el resultado es de 0,79 evidenciando la buena capacidad de pago de la deuda que posee la E.S.P.</w:t>
      </w:r>
    </w:p>
    <w:p w:rsidR="001A5EBD" w:rsidRPr="005C2F1E" w:rsidRDefault="001A5EBD" w:rsidP="008D090D">
      <w:pPr>
        <w:pStyle w:val="Default"/>
        <w:jc w:val="both"/>
        <w:rPr>
          <w:rFonts w:ascii="Arial" w:hAnsi="Arial" w:cs="Arial"/>
          <w:iCs/>
          <w:color w:val="auto"/>
          <w:sz w:val="20"/>
          <w:szCs w:val="20"/>
        </w:rPr>
      </w:pPr>
    </w:p>
    <w:p w:rsidR="002E0F85" w:rsidRPr="005C2F1E" w:rsidRDefault="008D090D" w:rsidP="008D090D">
      <w:pPr>
        <w:spacing w:after="0" w:line="240" w:lineRule="auto"/>
        <w:jc w:val="both"/>
        <w:rPr>
          <w:rFonts w:ascii="Arial" w:hAnsi="Arial" w:cs="Arial"/>
          <w:sz w:val="20"/>
          <w:szCs w:val="20"/>
        </w:rPr>
      </w:pPr>
      <w:r w:rsidRPr="005C2F1E">
        <w:rPr>
          <w:rFonts w:ascii="Arial" w:hAnsi="Arial" w:cs="Arial"/>
          <w:b/>
          <w:sz w:val="20"/>
          <w:szCs w:val="20"/>
        </w:rPr>
        <w:t xml:space="preserve">Indicadores de nivel de riesgo: </w:t>
      </w:r>
      <w:r w:rsidRPr="005C2F1E">
        <w:rPr>
          <w:rFonts w:ascii="Arial" w:hAnsi="Arial" w:cs="Arial"/>
          <w:sz w:val="20"/>
          <w:szCs w:val="20"/>
        </w:rPr>
        <w:t xml:space="preserve">la SSPD tiene fijados doce (12) indicadores de nivel de riesgo para las empresas generadoras, distribuidoras y comercializadoras, resolución 072 de 2002, modificada por la resolución 034 de </w:t>
      </w:r>
      <w:r w:rsidRPr="005C2F1E">
        <w:rPr>
          <w:rFonts w:ascii="Arial" w:hAnsi="Arial" w:cs="Arial"/>
          <w:sz w:val="20"/>
          <w:szCs w:val="20"/>
        </w:rPr>
        <w:lastRenderedPageBreak/>
        <w:t xml:space="preserve">2004. Del total de los 12 indicadores </w:t>
      </w:r>
      <w:r w:rsidR="002E0F85" w:rsidRPr="005C2F1E">
        <w:rPr>
          <w:rFonts w:ascii="Arial" w:hAnsi="Arial" w:cs="Arial"/>
          <w:sz w:val="20"/>
          <w:szCs w:val="20"/>
        </w:rPr>
        <w:t>establecidos por la SSPD, siete mejoraron respecto a los resultados obtenidos durante el 2013 y cinco desmejoraron así:</w:t>
      </w:r>
    </w:p>
    <w:p w:rsidR="002E0F85" w:rsidRPr="005C2F1E" w:rsidRDefault="002E0F85" w:rsidP="008D090D">
      <w:pPr>
        <w:spacing w:after="0" w:line="240" w:lineRule="auto"/>
        <w:jc w:val="both"/>
        <w:rPr>
          <w:rFonts w:ascii="Arial" w:hAnsi="Arial" w:cs="Arial"/>
          <w:iCs/>
          <w:sz w:val="20"/>
          <w:szCs w:val="20"/>
        </w:rPr>
      </w:pPr>
    </w:p>
    <w:tbl>
      <w:tblPr>
        <w:tblW w:w="5000" w:type="pct"/>
        <w:tblInd w:w="-10" w:type="dxa"/>
        <w:tblCellMar>
          <w:left w:w="70" w:type="dxa"/>
          <w:right w:w="70" w:type="dxa"/>
        </w:tblCellMar>
        <w:tblLook w:val="04A0" w:firstRow="1" w:lastRow="0" w:firstColumn="1" w:lastColumn="0" w:noHBand="0" w:noVBand="1"/>
      </w:tblPr>
      <w:tblGrid>
        <w:gridCol w:w="4473"/>
        <w:gridCol w:w="2596"/>
        <w:gridCol w:w="2249"/>
      </w:tblGrid>
      <w:tr w:rsidR="008D090D" w:rsidRPr="005C2F1E" w:rsidTr="0085321A">
        <w:trPr>
          <w:trHeight w:val="150"/>
        </w:trPr>
        <w:tc>
          <w:tcPr>
            <w:tcW w:w="2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090D" w:rsidRPr="005C2F1E" w:rsidRDefault="008D090D" w:rsidP="0085321A">
            <w:pPr>
              <w:spacing w:after="0" w:line="240" w:lineRule="auto"/>
              <w:jc w:val="center"/>
              <w:rPr>
                <w:rFonts w:ascii="Arial" w:eastAsia="Times New Roman" w:hAnsi="Arial" w:cs="Arial"/>
                <w:b/>
                <w:bCs/>
                <w:color w:val="000000"/>
                <w:sz w:val="16"/>
                <w:szCs w:val="16"/>
                <w:lang w:eastAsia="es-CO"/>
              </w:rPr>
            </w:pPr>
            <w:r w:rsidRPr="005C2F1E">
              <w:rPr>
                <w:rFonts w:ascii="Arial" w:eastAsia="Times New Roman" w:hAnsi="Arial" w:cs="Arial"/>
                <w:b/>
                <w:bCs/>
                <w:color w:val="000000"/>
                <w:sz w:val="16"/>
                <w:szCs w:val="16"/>
                <w:lang w:eastAsia="es-CO"/>
              </w:rPr>
              <w:t>INDICADOR</w:t>
            </w:r>
          </w:p>
        </w:tc>
        <w:tc>
          <w:tcPr>
            <w:tcW w:w="1393" w:type="pct"/>
            <w:tcBorders>
              <w:top w:val="single" w:sz="8" w:space="0" w:color="auto"/>
              <w:left w:val="nil"/>
              <w:bottom w:val="single" w:sz="8" w:space="0" w:color="auto"/>
              <w:right w:val="single" w:sz="8" w:space="0" w:color="auto"/>
            </w:tcBorders>
            <w:shd w:val="clear" w:color="auto" w:fill="auto"/>
            <w:vAlign w:val="center"/>
            <w:hideMark/>
          </w:tcPr>
          <w:p w:rsidR="008D090D" w:rsidRPr="005C2F1E" w:rsidRDefault="008D090D" w:rsidP="0085321A">
            <w:pPr>
              <w:spacing w:after="0" w:line="240" w:lineRule="auto"/>
              <w:jc w:val="center"/>
              <w:rPr>
                <w:rFonts w:ascii="Arial" w:eastAsia="Times New Roman" w:hAnsi="Arial" w:cs="Arial"/>
                <w:b/>
                <w:bCs/>
                <w:color w:val="000000"/>
                <w:sz w:val="16"/>
                <w:szCs w:val="16"/>
                <w:lang w:eastAsia="es-CO"/>
              </w:rPr>
            </w:pPr>
            <w:r w:rsidRPr="005C2F1E">
              <w:rPr>
                <w:rFonts w:ascii="Arial" w:eastAsia="Times New Roman" w:hAnsi="Arial" w:cs="Arial"/>
                <w:b/>
                <w:bCs/>
                <w:color w:val="000000"/>
                <w:sz w:val="16"/>
                <w:szCs w:val="16"/>
                <w:lang w:eastAsia="es-CO"/>
              </w:rPr>
              <w:t>RESULTADO 2013</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rsidR="008D090D" w:rsidRPr="005C2F1E" w:rsidRDefault="008D090D" w:rsidP="0085321A">
            <w:pPr>
              <w:spacing w:after="0" w:line="240" w:lineRule="auto"/>
              <w:jc w:val="center"/>
              <w:rPr>
                <w:rFonts w:ascii="Arial" w:eastAsia="Times New Roman" w:hAnsi="Arial" w:cs="Arial"/>
                <w:b/>
                <w:bCs/>
                <w:color w:val="000000"/>
                <w:sz w:val="16"/>
                <w:szCs w:val="16"/>
                <w:lang w:eastAsia="es-CO"/>
              </w:rPr>
            </w:pPr>
            <w:r w:rsidRPr="005C2F1E">
              <w:rPr>
                <w:rFonts w:ascii="Arial" w:eastAsia="Times New Roman" w:hAnsi="Arial" w:cs="Arial"/>
                <w:b/>
                <w:bCs/>
                <w:color w:val="000000"/>
                <w:sz w:val="16"/>
                <w:szCs w:val="16"/>
                <w:lang w:eastAsia="es-CO"/>
              </w:rPr>
              <w:t>RESULTADO 2014</w:t>
            </w:r>
          </w:p>
        </w:tc>
      </w:tr>
      <w:tr w:rsidR="008D090D" w:rsidRPr="005C2F1E" w:rsidTr="0085321A">
        <w:trPr>
          <w:trHeight w:val="150"/>
        </w:trPr>
        <w:tc>
          <w:tcPr>
            <w:tcW w:w="2400" w:type="pct"/>
            <w:tcBorders>
              <w:top w:val="nil"/>
              <w:left w:val="single" w:sz="8" w:space="0" w:color="auto"/>
              <w:bottom w:val="single" w:sz="8" w:space="0" w:color="auto"/>
              <w:right w:val="single" w:sz="8" w:space="0" w:color="auto"/>
            </w:tcBorders>
            <w:shd w:val="clear" w:color="auto" w:fill="auto"/>
            <w:vAlign w:val="center"/>
            <w:hideMark/>
          </w:tcPr>
          <w:p w:rsidR="008D090D" w:rsidRPr="005C2F1E" w:rsidRDefault="008D090D" w:rsidP="0085321A">
            <w:pPr>
              <w:spacing w:after="0" w:line="240" w:lineRule="auto"/>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Servicio de deuda sobre patrimonio</w:t>
            </w:r>
          </w:p>
        </w:tc>
        <w:tc>
          <w:tcPr>
            <w:tcW w:w="1393" w:type="pct"/>
            <w:tcBorders>
              <w:top w:val="nil"/>
              <w:left w:val="nil"/>
              <w:bottom w:val="single" w:sz="8" w:space="0" w:color="auto"/>
              <w:right w:val="single" w:sz="8" w:space="0" w:color="auto"/>
            </w:tcBorders>
            <w:shd w:val="clear" w:color="auto" w:fill="auto"/>
            <w:noWrap/>
            <w:vAlign w:val="center"/>
          </w:tcPr>
          <w:p w:rsidR="008D090D" w:rsidRPr="005C2F1E" w:rsidRDefault="00741F10"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0,009%</w:t>
            </w:r>
          </w:p>
        </w:tc>
        <w:tc>
          <w:tcPr>
            <w:tcW w:w="1207" w:type="pct"/>
            <w:tcBorders>
              <w:top w:val="nil"/>
              <w:left w:val="nil"/>
              <w:bottom w:val="single" w:sz="8" w:space="0" w:color="auto"/>
              <w:right w:val="single" w:sz="8" w:space="0" w:color="auto"/>
            </w:tcBorders>
            <w:shd w:val="clear" w:color="auto" w:fill="auto"/>
            <w:noWrap/>
            <w:vAlign w:val="center"/>
          </w:tcPr>
          <w:p w:rsidR="008D090D" w:rsidRPr="005C2F1E" w:rsidRDefault="00741F10"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1,19%</w:t>
            </w:r>
          </w:p>
        </w:tc>
      </w:tr>
      <w:tr w:rsidR="008D090D" w:rsidRPr="005C2F1E" w:rsidTr="0085321A">
        <w:trPr>
          <w:trHeight w:val="150"/>
        </w:trPr>
        <w:tc>
          <w:tcPr>
            <w:tcW w:w="2400" w:type="pct"/>
            <w:tcBorders>
              <w:top w:val="nil"/>
              <w:left w:val="single" w:sz="8" w:space="0" w:color="auto"/>
              <w:bottom w:val="single" w:sz="8" w:space="0" w:color="auto"/>
              <w:right w:val="single" w:sz="8" w:space="0" w:color="auto"/>
            </w:tcBorders>
            <w:shd w:val="clear" w:color="auto" w:fill="auto"/>
            <w:vAlign w:val="center"/>
          </w:tcPr>
          <w:p w:rsidR="008D090D" w:rsidRPr="005C2F1E" w:rsidRDefault="008D090D" w:rsidP="0085321A">
            <w:pPr>
              <w:spacing w:after="0" w:line="240" w:lineRule="auto"/>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Flujo de caja sobre servicio de la deuda</w:t>
            </w:r>
          </w:p>
        </w:tc>
        <w:tc>
          <w:tcPr>
            <w:tcW w:w="1393" w:type="pct"/>
            <w:tcBorders>
              <w:top w:val="nil"/>
              <w:left w:val="nil"/>
              <w:bottom w:val="single" w:sz="8" w:space="0" w:color="auto"/>
              <w:right w:val="single" w:sz="8" w:space="0" w:color="auto"/>
            </w:tcBorders>
            <w:shd w:val="clear" w:color="auto" w:fill="auto"/>
            <w:noWrap/>
            <w:vAlign w:val="center"/>
          </w:tcPr>
          <w:p w:rsidR="008D090D" w:rsidRPr="005C2F1E" w:rsidRDefault="00CF5C35"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9.912,95</w:t>
            </w:r>
          </w:p>
        </w:tc>
        <w:tc>
          <w:tcPr>
            <w:tcW w:w="1207" w:type="pct"/>
            <w:tcBorders>
              <w:top w:val="nil"/>
              <w:left w:val="nil"/>
              <w:bottom w:val="single" w:sz="8" w:space="0" w:color="auto"/>
              <w:right w:val="single" w:sz="8" w:space="0" w:color="auto"/>
            </w:tcBorders>
            <w:shd w:val="clear" w:color="auto" w:fill="auto"/>
            <w:noWrap/>
            <w:vAlign w:val="center"/>
          </w:tcPr>
          <w:p w:rsidR="008D090D" w:rsidRPr="005C2F1E" w:rsidRDefault="00CF5C35"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1.418,29</w:t>
            </w:r>
          </w:p>
        </w:tc>
      </w:tr>
      <w:tr w:rsidR="008D090D" w:rsidRPr="005C2F1E" w:rsidTr="0085321A">
        <w:trPr>
          <w:trHeight w:val="150"/>
        </w:trPr>
        <w:tc>
          <w:tcPr>
            <w:tcW w:w="2400" w:type="pct"/>
            <w:tcBorders>
              <w:top w:val="nil"/>
              <w:left w:val="single" w:sz="8" w:space="0" w:color="auto"/>
              <w:bottom w:val="single" w:sz="8" w:space="0" w:color="auto"/>
              <w:right w:val="single" w:sz="8" w:space="0" w:color="auto"/>
            </w:tcBorders>
            <w:shd w:val="clear" w:color="auto" w:fill="auto"/>
            <w:vAlign w:val="center"/>
          </w:tcPr>
          <w:p w:rsidR="008D090D" w:rsidRPr="005C2F1E" w:rsidRDefault="00F77236" w:rsidP="0085321A">
            <w:pPr>
              <w:spacing w:after="0" w:line="240" w:lineRule="auto"/>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Ciclo operacional</w:t>
            </w:r>
          </w:p>
        </w:tc>
        <w:tc>
          <w:tcPr>
            <w:tcW w:w="1393" w:type="pct"/>
            <w:tcBorders>
              <w:top w:val="nil"/>
              <w:left w:val="nil"/>
              <w:bottom w:val="single" w:sz="8" w:space="0" w:color="auto"/>
              <w:right w:val="single" w:sz="8" w:space="0" w:color="auto"/>
            </w:tcBorders>
            <w:shd w:val="clear" w:color="auto" w:fill="auto"/>
            <w:noWrap/>
            <w:vAlign w:val="center"/>
          </w:tcPr>
          <w:p w:rsidR="008D090D" w:rsidRPr="005C2F1E" w:rsidRDefault="00F77236"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11,67 días</w:t>
            </w:r>
          </w:p>
        </w:tc>
        <w:tc>
          <w:tcPr>
            <w:tcW w:w="1207" w:type="pct"/>
            <w:tcBorders>
              <w:top w:val="nil"/>
              <w:left w:val="nil"/>
              <w:bottom w:val="single" w:sz="8" w:space="0" w:color="auto"/>
              <w:right w:val="single" w:sz="8" w:space="0" w:color="auto"/>
            </w:tcBorders>
            <w:shd w:val="clear" w:color="auto" w:fill="auto"/>
            <w:noWrap/>
            <w:vAlign w:val="center"/>
          </w:tcPr>
          <w:p w:rsidR="008D090D" w:rsidRPr="005C2F1E" w:rsidRDefault="00F77236"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27,93 días</w:t>
            </w:r>
          </w:p>
        </w:tc>
      </w:tr>
      <w:tr w:rsidR="008D090D" w:rsidRPr="005C2F1E" w:rsidTr="0085321A">
        <w:trPr>
          <w:trHeight w:val="150"/>
        </w:trPr>
        <w:tc>
          <w:tcPr>
            <w:tcW w:w="2400" w:type="pct"/>
            <w:tcBorders>
              <w:top w:val="nil"/>
              <w:left w:val="single" w:sz="8" w:space="0" w:color="auto"/>
              <w:bottom w:val="single" w:sz="8" w:space="0" w:color="auto"/>
              <w:right w:val="single" w:sz="8" w:space="0" w:color="auto"/>
            </w:tcBorders>
            <w:shd w:val="clear" w:color="auto" w:fill="auto"/>
            <w:vAlign w:val="center"/>
          </w:tcPr>
          <w:p w:rsidR="008D090D" w:rsidRPr="005C2F1E" w:rsidRDefault="00F77236" w:rsidP="0085321A">
            <w:pPr>
              <w:spacing w:after="0" w:line="240" w:lineRule="auto"/>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Patrimonio/activo</w:t>
            </w:r>
          </w:p>
        </w:tc>
        <w:tc>
          <w:tcPr>
            <w:tcW w:w="1393" w:type="pct"/>
            <w:tcBorders>
              <w:top w:val="nil"/>
              <w:left w:val="nil"/>
              <w:bottom w:val="single" w:sz="8" w:space="0" w:color="auto"/>
              <w:right w:val="single" w:sz="8" w:space="0" w:color="auto"/>
            </w:tcBorders>
            <w:shd w:val="clear" w:color="auto" w:fill="auto"/>
            <w:noWrap/>
            <w:vAlign w:val="center"/>
          </w:tcPr>
          <w:p w:rsidR="008D090D" w:rsidRPr="005C2F1E" w:rsidRDefault="00975678"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79.78</w:t>
            </w:r>
            <w:r w:rsidR="00F77236" w:rsidRPr="005C2F1E">
              <w:rPr>
                <w:rFonts w:ascii="Arial" w:eastAsia="Times New Roman" w:hAnsi="Arial" w:cs="Arial"/>
                <w:color w:val="000000"/>
                <w:sz w:val="16"/>
                <w:szCs w:val="16"/>
                <w:lang w:eastAsia="es-CO"/>
              </w:rPr>
              <w:t>%</w:t>
            </w:r>
          </w:p>
        </w:tc>
        <w:tc>
          <w:tcPr>
            <w:tcW w:w="1207" w:type="pct"/>
            <w:tcBorders>
              <w:top w:val="nil"/>
              <w:left w:val="nil"/>
              <w:bottom w:val="single" w:sz="8" w:space="0" w:color="auto"/>
              <w:right w:val="single" w:sz="8" w:space="0" w:color="auto"/>
            </w:tcBorders>
            <w:shd w:val="clear" w:color="auto" w:fill="auto"/>
            <w:noWrap/>
            <w:vAlign w:val="center"/>
          </w:tcPr>
          <w:p w:rsidR="008D090D" w:rsidRPr="005C2F1E" w:rsidRDefault="00F77236"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58,71%</w:t>
            </w:r>
          </w:p>
        </w:tc>
      </w:tr>
      <w:tr w:rsidR="008D090D" w:rsidRPr="005C2F1E" w:rsidTr="0085321A">
        <w:trPr>
          <w:trHeight w:val="150"/>
        </w:trPr>
        <w:tc>
          <w:tcPr>
            <w:tcW w:w="2400" w:type="pct"/>
            <w:tcBorders>
              <w:top w:val="nil"/>
              <w:left w:val="single" w:sz="8" w:space="0" w:color="auto"/>
              <w:bottom w:val="single" w:sz="8" w:space="0" w:color="auto"/>
              <w:right w:val="single" w:sz="8" w:space="0" w:color="auto"/>
            </w:tcBorders>
            <w:shd w:val="clear" w:color="auto" w:fill="auto"/>
            <w:vAlign w:val="center"/>
          </w:tcPr>
          <w:p w:rsidR="008D090D" w:rsidRPr="005C2F1E" w:rsidRDefault="00F77236" w:rsidP="0085321A">
            <w:pPr>
              <w:spacing w:after="0" w:line="240" w:lineRule="auto"/>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Pasivo corriente / pasivo total</w:t>
            </w:r>
          </w:p>
        </w:tc>
        <w:tc>
          <w:tcPr>
            <w:tcW w:w="1393" w:type="pct"/>
            <w:tcBorders>
              <w:top w:val="nil"/>
              <w:left w:val="nil"/>
              <w:bottom w:val="single" w:sz="8" w:space="0" w:color="auto"/>
              <w:right w:val="single" w:sz="8" w:space="0" w:color="auto"/>
            </w:tcBorders>
            <w:shd w:val="clear" w:color="auto" w:fill="auto"/>
            <w:noWrap/>
            <w:vAlign w:val="center"/>
          </w:tcPr>
          <w:p w:rsidR="008D090D" w:rsidRPr="005C2F1E" w:rsidRDefault="00975678"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41,46</w:t>
            </w:r>
            <w:r w:rsidR="00F77236" w:rsidRPr="005C2F1E">
              <w:rPr>
                <w:rFonts w:ascii="Arial" w:eastAsia="Times New Roman" w:hAnsi="Arial" w:cs="Arial"/>
                <w:color w:val="000000"/>
                <w:sz w:val="16"/>
                <w:szCs w:val="16"/>
                <w:lang w:eastAsia="es-CO"/>
              </w:rPr>
              <w:t>%</w:t>
            </w:r>
          </w:p>
        </w:tc>
        <w:tc>
          <w:tcPr>
            <w:tcW w:w="1207" w:type="pct"/>
            <w:tcBorders>
              <w:top w:val="nil"/>
              <w:left w:val="nil"/>
              <w:bottom w:val="single" w:sz="8" w:space="0" w:color="auto"/>
              <w:right w:val="single" w:sz="8" w:space="0" w:color="auto"/>
            </w:tcBorders>
            <w:shd w:val="clear" w:color="auto" w:fill="auto"/>
            <w:noWrap/>
            <w:vAlign w:val="center"/>
          </w:tcPr>
          <w:p w:rsidR="008D090D" w:rsidRPr="005C2F1E" w:rsidRDefault="00F77236" w:rsidP="0085321A">
            <w:pPr>
              <w:spacing w:after="0" w:line="240" w:lineRule="auto"/>
              <w:jc w:val="center"/>
              <w:rPr>
                <w:rFonts w:ascii="Arial" w:eastAsia="Times New Roman" w:hAnsi="Arial" w:cs="Arial"/>
                <w:color w:val="000000"/>
                <w:sz w:val="16"/>
                <w:szCs w:val="16"/>
                <w:lang w:eastAsia="es-CO"/>
              </w:rPr>
            </w:pPr>
            <w:r w:rsidRPr="005C2F1E">
              <w:rPr>
                <w:rFonts w:ascii="Arial" w:eastAsia="Times New Roman" w:hAnsi="Arial" w:cs="Arial"/>
                <w:color w:val="000000"/>
                <w:sz w:val="16"/>
                <w:szCs w:val="16"/>
                <w:lang w:eastAsia="es-CO"/>
              </w:rPr>
              <w:t>49,58%</w:t>
            </w:r>
          </w:p>
        </w:tc>
      </w:tr>
    </w:tbl>
    <w:p w:rsidR="008D090D" w:rsidRPr="005C2F1E" w:rsidRDefault="008D090D" w:rsidP="002C2E67">
      <w:pPr>
        <w:pStyle w:val="NormalWeb"/>
        <w:spacing w:before="0" w:beforeAutospacing="0" w:after="0" w:afterAutospacing="0"/>
        <w:jc w:val="both"/>
        <w:rPr>
          <w:rFonts w:ascii="Arial" w:hAnsi="Arial" w:cs="Arial"/>
          <w:b/>
          <w:bCs/>
          <w:sz w:val="20"/>
          <w:szCs w:val="20"/>
          <w:lang w:val="es-CO"/>
        </w:rPr>
      </w:pPr>
    </w:p>
    <w:p w:rsidR="00F77236" w:rsidRPr="005C2F1E" w:rsidRDefault="00151761" w:rsidP="00F77236">
      <w:pPr>
        <w:autoSpaceDE w:val="0"/>
        <w:autoSpaceDN w:val="0"/>
        <w:adjustRightInd w:val="0"/>
        <w:spacing w:after="0" w:line="240" w:lineRule="auto"/>
        <w:jc w:val="both"/>
        <w:rPr>
          <w:rFonts w:ascii="Arial" w:hAnsi="Arial" w:cs="Arial"/>
          <w:bCs/>
          <w:sz w:val="20"/>
          <w:szCs w:val="20"/>
        </w:rPr>
      </w:pPr>
      <w:r w:rsidRPr="005C2F1E">
        <w:rPr>
          <w:rFonts w:ascii="Arial" w:hAnsi="Arial" w:cs="Arial"/>
          <w:b/>
          <w:bCs/>
          <w:sz w:val="20"/>
          <w:szCs w:val="20"/>
        </w:rPr>
        <w:t>Nivel de Riesgo:</w:t>
      </w:r>
      <w:r w:rsidR="00CC66D9" w:rsidRPr="005C2F1E">
        <w:rPr>
          <w:rFonts w:ascii="Arial" w:hAnsi="Arial" w:cs="Arial"/>
          <w:b/>
          <w:bCs/>
          <w:sz w:val="20"/>
          <w:szCs w:val="20"/>
        </w:rPr>
        <w:t xml:space="preserve"> </w:t>
      </w:r>
      <w:r w:rsidR="00CC66D9" w:rsidRPr="005C2F1E">
        <w:rPr>
          <w:rFonts w:ascii="Arial" w:hAnsi="Arial" w:cs="Arial"/>
          <w:sz w:val="20"/>
          <w:szCs w:val="20"/>
        </w:rPr>
        <w:t>Es acorde con el riesgo definido por la SSPPD, p</w:t>
      </w:r>
      <w:r w:rsidR="000302BF" w:rsidRPr="005C2F1E">
        <w:rPr>
          <w:rFonts w:ascii="Arial" w:hAnsi="Arial" w:cs="Arial"/>
          <w:sz w:val="20"/>
          <w:szCs w:val="20"/>
        </w:rPr>
        <w:t xml:space="preserve">osee un bajo nivel de riesgo obteniendo una calificación de </w:t>
      </w:r>
      <w:r w:rsidR="000302BF" w:rsidRPr="005C2F1E">
        <w:rPr>
          <w:rFonts w:ascii="Arial" w:hAnsi="Arial" w:cs="Arial"/>
          <w:b/>
          <w:sz w:val="20"/>
          <w:szCs w:val="20"/>
        </w:rPr>
        <w:t>A</w:t>
      </w:r>
      <w:r w:rsidR="00CC66D9" w:rsidRPr="005C2F1E">
        <w:rPr>
          <w:rFonts w:ascii="Arial" w:hAnsi="Arial" w:cs="Arial"/>
          <w:b/>
          <w:sz w:val="20"/>
          <w:szCs w:val="20"/>
        </w:rPr>
        <w:t>.</w:t>
      </w:r>
      <w:r w:rsidR="00CC66D9" w:rsidRPr="005C2F1E">
        <w:rPr>
          <w:rFonts w:ascii="Arial" w:hAnsi="Arial" w:cs="Arial"/>
          <w:sz w:val="20"/>
          <w:szCs w:val="20"/>
        </w:rPr>
        <w:t xml:space="preserve"> </w:t>
      </w:r>
      <w:r w:rsidR="00EE709D" w:rsidRPr="005C2F1E">
        <w:rPr>
          <w:rFonts w:ascii="Arial" w:hAnsi="Arial" w:cs="Arial"/>
          <w:sz w:val="20"/>
          <w:szCs w:val="20"/>
        </w:rPr>
        <w:t xml:space="preserve"> </w:t>
      </w:r>
      <w:r w:rsidR="00F77236" w:rsidRPr="005C2F1E">
        <w:rPr>
          <w:rFonts w:ascii="Arial" w:hAnsi="Arial" w:cs="Arial"/>
          <w:bCs/>
          <w:sz w:val="20"/>
          <w:szCs w:val="20"/>
        </w:rPr>
        <w:t>Si bien, los cinco (5) indicadores desmejoraron frente a los resultados obtenidos el año anterior, dicha situación se sustenta en el endeudamiento financiero que hasta el 2013 era cero y la disminución en el patrimonio por la restitución de la prima en colocación de acciones y no afecta el nivel de riesgo que actualmente presenta la E.S.P.</w:t>
      </w:r>
    </w:p>
    <w:p w:rsidR="000302BF" w:rsidRPr="005C2F1E" w:rsidRDefault="000302BF" w:rsidP="002C2E67">
      <w:pPr>
        <w:pStyle w:val="NormalWeb"/>
        <w:spacing w:before="0" w:beforeAutospacing="0" w:after="0" w:afterAutospacing="0"/>
        <w:jc w:val="both"/>
        <w:rPr>
          <w:rFonts w:ascii="Arial" w:hAnsi="Arial" w:cs="Arial"/>
          <w:sz w:val="20"/>
          <w:szCs w:val="20"/>
          <w:lang w:val="es-CO"/>
        </w:rPr>
      </w:pPr>
    </w:p>
    <w:p w:rsidR="000E1C25" w:rsidRPr="005C2F1E" w:rsidRDefault="00C01130" w:rsidP="002C2E67">
      <w:pPr>
        <w:pStyle w:val="NormalWeb"/>
        <w:spacing w:before="0" w:beforeAutospacing="0" w:after="0" w:afterAutospacing="0"/>
        <w:jc w:val="both"/>
        <w:rPr>
          <w:rFonts w:ascii="Arial" w:hAnsi="Arial" w:cs="Arial"/>
          <w:sz w:val="20"/>
          <w:szCs w:val="20"/>
          <w:lang w:val="es-CO"/>
        </w:rPr>
      </w:pPr>
      <w:r w:rsidRPr="005C2F1E">
        <w:rPr>
          <w:rFonts w:ascii="Arial" w:hAnsi="Arial" w:cs="Arial"/>
          <w:sz w:val="20"/>
          <w:szCs w:val="20"/>
          <w:lang w:val="es-CO"/>
        </w:rPr>
        <w:t xml:space="preserve">Al respecto es importante aclarar que si bien se presenta una reducción en los resultados de los indicadores mencionados anteriormente, no significa que la E.S.P., esté presentando problemas en su </w:t>
      </w:r>
      <w:r w:rsidR="00244CFE" w:rsidRPr="005C2F1E">
        <w:rPr>
          <w:rFonts w:ascii="Arial" w:hAnsi="Arial" w:cs="Arial"/>
          <w:sz w:val="20"/>
          <w:szCs w:val="20"/>
          <w:lang w:val="es-CO"/>
        </w:rPr>
        <w:t>situación financiera</w:t>
      </w:r>
      <w:r w:rsidRPr="005C2F1E">
        <w:rPr>
          <w:rFonts w:ascii="Arial" w:hAnsi="Arial" w:cs="Arial"/>
          <w:sz w:val="20"/>
          <w:szCs w:val="20"/>
          <w:lang w:val="es-CO"/>
        </w:rPr>
        <w:t>, por el contrario, la adquisición del endeudamiento financiero por $</w:t>
      </w:r>
      <w:r w:rsidR="000E1C25" w:rsidRPr="005C2F1E">
        <w:rPr>
          <w:rFonts w:ascii="Arial" w:hAnsi="Arial" w:cs="Arial"/>
          <w:sz w:val="20"/>
          <w:szCs w:val="20"/>
          <w:lang w:val="es-CO"/>
        </w:rPr>
        <w:t>118.000 millones y</w:t>
      </w:r>
      <w:r w:rsidRPr="005C2F1E">
        <w:rPr>
          <w:rFonts w:ascii="Arial" w:hAnsi="Arial" w:cs="Arial"/>
          <w:sz w:val="20"/>
          <w:szCs w:val="20"/>
          <w:lang w:val="es-CO"/>
        </w:rPr>
        <w:t xml:space="preserve"> el </w:t>
      </w:r>
      <w:r w:rsidR="000E1C25" w:rsidRPr="005C2F1E">
        <w:rPr>
          <w:rFonts w:ascii="Arial" w:hAnsi="Arial" w:cs="Arial"/>
          <w:sz w:val="20"/>
          <w:szCs w:val="20"/>
          <w:lang w:val="es-CO"/>
        </w:rPr>
        <w:t xml:space="preserve">crédito con </w:t>
      </w:r>
      <w:r w:rsidRPr="005C2F1E">
        <w:rPr>
          <w:rFonts w:ascii="Arial" w:hAnsi="Arial" w:cs="Arial"/>
          <w:sz w:val="20"/>
          <w:szCs w:val="20"/>
          <w:lang w:val="es-CO"/>
        </w:rPr>
        <w:t>la casa</w:t>
      </w:r>
      <w:r w:rsidR="000E1C25" w:rsidRPr="005C2F1E">
        <w:rPr>
          <w:rFonts w:ascii="Arial" w:hAnsi="Arial" w:cs="Arial"/>
          <w:sz w:val="20"/>
          <w:szCs w:val="20"/>
          <w:lang w:val="es-CO"/>
        </w:rPr>
        <w:t xml:space="preserve"> matriz por </w:t>
      </w:r>
      <w:r w:rsidRPr="005C2F1E">
        <w:rPr>
          <w:rFonts w:ascii="Arial" w:hAnsi="Arial" w:cs="Arial"/>
          <w:sz w:val="20"/>
          <w:szCs w:val="20"/>
          <w:lang w:val="es-CO"/>
        </w:rPr>
        <w:t>$</w:t>
      </w:r>
      <w:r w:rsidR="000E1C25" w:rsidRPr="005C2F1E">
        <w:rPr>
          <w:rFonts w:ascii="Arial" w:hAnsi="Arial" w:cs="Arial"/>
          <w:sz w:val="20"/>
          <w:szCs w:val="20"/>
          <w:lang w:val="es-CO"/>
        </w:rPr>
        <w:t>105.000 millones, los cuales fueron destinados para el fondeo de sus inversio</w:t>
      </w:r>
      <w:r w:rsidRPr="005C2F1E">
        <w:rPr>
          <w:rFonts w:ascii="Arial" w:hAnsi="Arial" w:cs="Arial"/>
          <w:sz w:val="20"/>
          <w:szCs w:val="20"/>
          <w:lang w:val="es-CO"/>
        </w:rPr>
        <w:t>nes y retorno a sus accionistas, obedeció a decisiones gerenciales</w:t>
      </w:r>
      <w:r w:rsidR="00D32EEA" w:rsidRPr="005C2F1E">
        <w:rPr>
          <w:rFonts w:ascii="Arial" w:hAnsi="Arial" w:cs="Arial"/>
          <w:sz w:val="20"/>
          <w:szCs w:val="20"/>
          <w:lang w:val="es-CO"/>
        </w:rPr>
        <w:t xml:space="preserve"> bajo los lineamientos de la casa matriz, </w:t>
      </w:r>
      <w:r w:rsidRPr="005C2F1E">
        <w:rPr>
          <w:rFonts w:ascii="Arial" w:hAnsi="Arial" w:cs="Arial"/>
          <w:sz w:val="20"/>
          <w:szCs w:val="20"/>
          <w:lang w:val="es-CO"/>
        </w:rPr>
        <w:t xml:space="preserve">con el fin de </w:t>
      </w:r>
      <w:r w:rsidR="00D32EEA" w:rsidRPr="005C2F1E">
        <w:rPr>
          <w:rFonts w:ascii="Arial" w:hAnsi="Arial" w:cs="Arial"/>
          <w:sz w:val="20"/>
          <w:szCs w:val="20"/>
          <w:lang w:val="es-CO"/>
        </w:rPr>
        <w:t>optimizar</w:t>
      </w:r>
      <w:r w:rsidRPr="005C2F1E">
        <w:rPr>
          <w:rFonts w:ascii="Arial" w:hAnsi="Arial" w:cs="Arial"/>
          <w:sz w:val="20"/>
          <w:szCs w:val="20"/>
          <w:lang w:val="es-CO"/>
        </w:rPr>
        <w:t xml:space="preserve"> la </w:t>
      </w:r>
      <w:r w:rsidR="00CF5C35" w:rsidRPr="005C2F1E">
        <w:rPr>
          <w:rFonts w:ascii="Arial" w:hAnsi="Arial" w:cs="Arial"/>
          <w:sz w:val="20"/>
          <w:szCs w:val="20"/>
          <w:lang w:val="es-CO"/>
        </w:rPr>
        <w:t xml:space="preserve">estructura de capital situación que se refleja en la relación pasivo patrimonio que pasó de 20 – 80 a 41 – 59. </w:t>
      </w:r>
      <w:r w:rsidR="00882381" w:rsidRPr="005C2F1E">
        <w:rPr>
          <w:rFonts w:ascii="Arial" w:hAnsi="Arial" w:cs="Arial"/>
          <w:sz w:val="20"/>
          <w:szCs w:val="20"/>
          <w:lang w:val="es-CO"/>
        </w:rPr>
        <w:t>Esta relación nos indica el nivel de apalancamiento que se tiene actualmente con recursos de terceros, lo cual si bien disminuye el costo de capital de la E.S.P., e incrementa la rentabilidad de los accionistas.</w:t>
      </w:r>
      <w:r w:rsidR="00CF5C35" w:rsidRPr="005C2F1E">
        <w:rPr>
          <w:rFonts w:ascii="Arial" w:hAnsi="Arial" w:cs="Arial"/>
          <w:sz w:val="20"/>
          <w:szCs w:val="20"/>
          <w:lang w:val="es-CO"/>
        </w:rPr>
        <w:t xml:space="preserve">  </w:t>
      </w:r>
    </w:p>
    <w:p w:rsidR="000E1C25" w:rsidRPr="005C2F1E" w:rsidRDefault="000E1C25" w:rsidP="002C2E67">
      <w:pPr>
        <w:pStyle w:val="NormalWeb"/>
        <w:spacing w:before="0" w:beforeAutospacing="0" w:after="0" w:afterAutospacing="0"/>
        <w:jc w:val="both"/>
        <w:rPr>
          <w:rFonts w:ascii="Arial" w:hAnsi="Arial" w:cs="Arial"/>
          <w:sz w:val="20"/>
          <w:szCs w:val="20"/>
          <w:lang w:val="es-CO"/>
        </w:rPr>
      </w:pPr>
    </w:p>
    <w:bookmarkEnd w:id="2"/>
    <w:p w:rsidR="0043001D" w:rsidRPr="005C2F1E" w:rsidRDefault="00151761" w:rsidP="00D304D7">
      <w:pPr>
        <w:spacing w:after="0" w:line="240" w:lineRule="auto"/>
        <w:jc w:val="both"/>
        <w:rPr>
          <w:rFonts w:ascii="Arial" w:hAnsi="Arial" w:cs="Arial"/>
          <w:sz w:val="20"/>
          <w:szCs w:val="20"/>
        </w:rPr>
      </w:pPr>
      <w:r w:rsidRPr="005C2F1E">
        <w:rPr>
          <w:rFonts w:ascii="Arial" w:hAnsi="Arial" w:cs="Arial"/>
          <w:b/>
          <w:bCs/>
          <w:sz w:val="20"/>
          <w:szCs w:val="20"/>
        </w:rPr>
        <w:t xml:space="preserve">Calidad de la Información: </w:t>
      </w:r>
      <w:r w:rsidR="0043001D" w:rsidRPr="005C2F1E">
        <w:rPr>
          <w:rFonts w:ascii="Arial" w:hAnsi="Arial" w:cs="Arial"/>
          <w:sz w:val="20"/>
          <w:szCs w:val="20"/>
        </w:rPr>
        <w:t xml:space="preserve">Las cifras fuente para la elaboración de los indicadores fueron tomadas del reporte del Plan de Cuentas cargado por </w:t>
      </w:r>
      <w:r w:rsidR="005E12C9" w:rsidRPr="005C2F1E">
        <w:rPr>
          <w:rFonts w:ascii="Arial" w:hAnsi="Arial" w:cs="Arial"/>
          <w:b/>
          <w:sz w:val="20"/>
          <w:szCs w:val="20"/>
        </w:rPr>
        <w:t>CHEC</w:t>
      </w:r>
      <w:r w:rsidR="005E12C9" w:rsidRPr="005C2F1E">
        <w:rPr>
          <w:rFonts w:ascii="Arial" w:hAnsi="Arial" w:cs="Arial"/>
          <w:sz w:val="20"/>
          <w:szCs w:val="20"/>
        </w:rPr>
        <w:t xml:space="preserve"> </w:t>
      </w:r>
      <w:r w:rsidR="005E12C9" w:rsidRPr="005C2F1E">
        <w:rPr>
          <w:rFonts w:ascii="Arial" w:hAnsi="Arial" w:cs="Arial"/>
          <w:sz w:val="20"/>
          <w:szCs w:val="20"/>
        </w:rPr>
        <w:lastRenderedPageBreak/>
        <w:t>al SUI en marzo 18</w:t>
      </w:r>
      <w:r w:rsidR="004E2000" w:rsidRPr="005C2F1E">
        <w:rPr>
          <w:rFonts w:ascii="Arial" w:hAnsi="Arial" w:cs="Arial"/>
          <w:sz w:val="20"/>
          <w:szCs w:val="20"/>
        </w:rPr>
        <w:t xml:space="preserve"> de 2015</w:t>
      </w:r>
      <w:r w:rsidR="00975678" w:rsidRPr="005C2F1E">
        <w:rPr>
          <w:rFonts w:ascii="Arial" w:hAnsi="Arial" w:cs="Arial"/>
          <w:sz w:val="20"/>
          <w:szCs w:val="20"/>
        </w:rPr>
        <w:t xml:space="preserve">. </w:t>
      </w:r>
      <w:r w:rsidR="00975678" w:rsidRPr="005C2F1E">
        <w:rPr>
          <w:rFonts w:ascii="Arial" w:eastAsia="Calibri" w:hAnsi="Arial" w:cs="Arial"/>
          <w:bCs/>
          <w:sz w:val="20"/>
          <w:szCs w:val="20"/>
        </w:rPr>
        <w:t>La presentación de los estados contables (certificados y dictaminados) cruza con los reportados al SUI.</w:t>
      </w:r>
    </w:p>
    <w:p w:rsidR="0043001D" w:rsidRDefault="0043001D" w:rsidP="0043001D">
      <w:pPr>
        <w:spacing w:after="0" w:line="240" w:lineRule="auto"/>
        <w:jc w:val="both"/>
        <w:rPr>
          <w:rFonts w:ascii="Arial" w:hAnsi="Arial" w:cs="Arial"/>
          <w:sz w:val="20"/>
          <w:szCs w:val="20"/>
        </w:rPr>
      </w:pPr>
    </w:p>
    <w:p w:rsidR="00E0280B" w:rsidRDefault="00E0280B" w:rsidP="0043001D">
      <w:pPr>
        <w:spacing w:after="0" w:line="240" w:lineRule="auto"/>
        <w:jc w:val="both"/>
        <w:rPr>
          <w:rFonts w:ascii="Arial" w:hAnsi="Arial" w:cs="Arial"/>
          <w:sz w:val="20"/>
          <w:szCs w:val="20"/>
        </w:rPr>
      </w:pPr>
    </w:p>
    <w:p w:rsidR="00E0280B" w:rsidRDefault="00E0280B">
      <w:pPr>
        <w:spacing w:after="0" w:line="240" w:lineRule="auto"/>
        <w:rPr>
          <w:rFonts w:ascii="Arial" w:hAnsi="Arial" w:cs="Arial"/>
          <w:sz w:val="20"/>
          <w:szCs w:val="20"/>
        </w:rPr>
      </w:pPr>
      <w:r>
        <w:rPr>
          <w:rFonts w:ascii="Arial" w:hAnsi="Arial" w:cs="Arial"/>
          <w:sz w:val="20"/>
          <w:szCs w:val="20"/>
        </w:rPr>
        <w:br w:type="page"/>
      </w:r>
    </w:p>
    <w:p w:rsidR="00E0280B" w:rsidRPr="005C2F1E" w:rsidRDefault="00E0280B" w:rsidP="0043001D">
      <w:pPr>
        <w:spacing w:after="0" w:line="240" w:lineRule="auto"/>
        <w:jc w:val="both"/>
        <w:rPr>
          <w:rFonts w:ascii="Arial" w:hAnsi="Arial" w:cs="Arial"/>
          <w:sz w:val="20"/>
          <w:szCs w:val="20"/>
        </w:rPr>
      </w:pPr>
    </w:p>
    <w:p w:rsidR="00151761" w:rsidRPr="005C2F1E" w:rsidRDefault="00151761" w:rsidP="00D304D7">
      <w:pPr>
        <w:spacing w:after="0" w:line="240" w:lineRule="auto"/>
        <w:jc w:val="both"/>
        <w:rPr>
          <w:rFonts w:ascii="Arial" w:hAnsi="Arial" w:cs="Arial"/>
          <w:bCs/>
          <w:sz w:val="20"/>
          <w:szCs w:val="20"/>
        </w:rPr>
      </w:pPr>
      <w:r w:rsidRPr="005C2F1E">
        <w:rPr>
          <w:rFonts w:ascii="Arial" w:hAnsi="Arial" w:cs="Arial"/>
          <w:b/>
          <w:bCs/>
          <w:sz w:val="20"/>
          <w:szCs w:val="20"/>
        </w:rPr>
        <w:t xml:space="preserve">Sistema de Control Interno: </w:t>
      </w:r>
      <w:r w:rsidR="002C2E67" w:rsidRPr="005C2F1E">
        <w:rPr>
          <w:rFonts w:ascii="Arial" w:hAnsi="Arial" w:cs="Arial"/>
          <w:sz w:val="20"/>
          <w:szCs w:val="20"/>
        </w:rPr>
        <w:t>Sin dejar de lado las limitaciones inherente</w:t>
      </w:r>
      <w:r w:rsidR="000A2CEF" w:rsidRPr="005C2F1E">
        <w:rPr>
          <w:rFonts w:ascii="Arial" w:hAnsi="Arial" w:cs="Arial"/>
          <w:sz w:val="20"/>
          <w:szCs w:val="20"/>
        </w:rPr>
        <w:t>s a la efectividad de cualquier</w:t>
      </w:r>
      <w:r w:rsidR="002C2E67" w:rsidRPr="005C2F1E">
        <w:rPr>
          <w:rFonts w:ascii="Arial" w:hAnsi="Arial" w:cs="Arial"/>
          <w:sz w:val="20"/>
          <w:szCs w:val="20"/>
        </w:rPr>
        <w:t xml:space="preserve"> </w:t>
      </w:r>
      <w:r w:rsidR="000A2CEF" w:rsidRPr="005C2F1E">
        <w:rPr>
          <w:rFonts w:ascii="Arial" w:hAnsi="Arial" w:cs="Arial"/>
          <w:sz w:val="20"/>
          <w:szCs w:val="20"/>
        </w:rPr>
        <w:t>s</w:t>
      </w:r>
      <w:r w:rsidR="002C2E67" w:rsidRPr="005C2F1E">
        <w:rPr>
          <w:rFonts w:ascii="Arial" w:hAnsi="Arial" w:cs="Arial"/>
          <w:sz w:val="20"/>
          <w:szCs w:val="20"/>
        </w:rPr>
        <w:t xml:space="preserve">istema </w:t>
      </w:r>
      <w:r w:rsidR="000A2CEF" w:rsidRPr="005C2F1E">
        <w:rPr>
          <w:rFonts w:ascii="Arial" w:hAnsi="Arial" w:cs="Arial"/>
          <w:sz w:val="20"/>
          <w:szCs w:val="20"/>
        </w:rPr>
        <w:t>d</w:t>
      </w:r>
      <w:r w:rsidR="002C2E67" w:rsidRPr="005C2F1E">
        <w:rPr>
          <w:rFonts w:ascii="Arial" w:hAnsi="Arial" w:cs="Arial"/>
          <w:sz w:val="20"/>
          <w:szCs w:val="20"/>
        </w:rPr>
        <w:t xml:space="preserve">e </w:t>
      </w:r>
      <w:r w:rsidR="000A2CEF" w:rsidRPr="005C2F1E">
        <w:rPr>
          <w:rFonts w:ascii="Arial" w:hAnsi="Arial" w:cs="Arial"/>
          <w:sz w:val="20"/>
          <w:szCs w:val="20"/>
        </w:rPr>
        <w:t>c</w:t>
      </w:r>
      <w:r w:rsidR="002C2E67" w:rsidRPr="005C2F1E">
        <w:rPr>
          <w:rFonts w:ascii="Arial" w:hAnsi="Arial" w:cs="Arial"/>
          <w:sz w:val="20"/>
          <w:szCs w:val="20"/>
        </w:rPr>
        <w:t xml:space="preserve">ontrol </w:t>
      </w:r>
      <w:r w:rsidR="000A2CEF" w:rsidRPr="005C2F1E">
        <w:rPr>
          <w:rFonts w:ascii="Arial" w:hAnsi="Arial" w:cs="Arial"/>
          <w:sz w:val="20"/>
          <w:szCs w:val="20"/>
        </w:rPr>
        <w:t>i</w:t>
      </w:r>
      <w:r w:rsidR="002C2E67" w:rsidRPr="005C2F1E">
        <w:rPr>
          <w:rFonts w:ascii="Arial" w:hAnsi="Arial" w:cs="Arial"/>
          <w:sz w:val="20"/>
          <w:szCs w:val="20"/>
        </w:rPr>
        <w:t>nterno, el cual puede afectarse por circunst</w:t>
      </w:r>
      <w:r w:rsidR="000A2CEF" w:rsidRPr="005C2F1E">
        <w:rPr>
          <w:rFonts w:ascii="Arial" w:hAnsi="Arial" w:cs="Arial"/>
          <w:sz w:val="20"/>
          <w:szCs w:val="20"/>
        </w:rPr>
        <w:t xml:space="preserve">ancias externas o imprevistas, </w:t>
      </w:r>
      <w:r w:rsidR="002C2E67" w:rsidRPr="005C2F1E">
        <w:rPr>
          <w:rFonts w:ascii="Arial" w:hAnsi="Arial" w:cs="Arial"/>
          <w:sz w:val="20"/>
          <w:szCs w:val="20"/>
        </w:rPr>
        <w:t>este mantiene un nivel Adecuado.</w:t>
      </w:r>
    </w:p>
    <w:p w:rsidR="00E4194E" w:rsidRPr="005C2F1E" w:rsidRDefault="00E4194E" w:rsidP="002C2E67">
      <w:pPr>
        <w:spacing w:after="0" w:line="240" w:lineRule="auto"/>
        <w:jc w:val="both"/>
        <w:rPr>
          <w:rFonts w:ascii="Arial" w:hAnsi="Arial" w:cs="Arial"/>
          <w:b/>
          <w:bCs/>
          <w:sz w:val="20"/>
          <w:szCs w:val="20"/>
        </w:rPr>
      </w:pPr>
    </w:p>
    <w:p w:rsidR="000A2CEF" w:rsidRPr="005C2F1E" w:rsidRDefault="000A2CEF" w:rsidP="000A2CEF">
      <w:pPr>
        <w:autoSpaceDE w:val="0"/>
        <w:autoSpaceDN w:val="0"/>
        <w:adjustRightInd w:val="0"/>
        <w:spacing w:after="0" w:line="240" w:lineRule="auto"/>
        <w:jc w:val="both"/>
        <w:rPr>
          <w:rFonts w:ascii="Arial" w:hAnsi="Arial" w:cs="Arial"/>
          <w:b/>
          <w:sz w:val="20"/>
          <w:szCs w:val="20"/>
        </w:rPr>
      </w:pPr>
    </w:p>
    <w:p w:rsidR="005C2F1E" w:rsidRDefault="005C2F1E" w:rsidP="000A2CEF">
      <w:pPr>
        <w:autoSpaceDE w:val="0"/>
        <w:autoSpaceDN w:val="0"/>
        <w:adjustRightInd w:val="0"/>
        <w:spacing w:after="0" w:line="240" w:lineRule="auto"/>
        <w:jc w:val="both"/>
        <w:rPr>
          <w:rFonts w:ascii="Arial" w:hAnsi="Arial" w:cs="Arial"/>
          <w:b/>
          <w:sz w:val="20"/>
          <w:szCs w:val="20"/>
        </w:rPr>
      </w:pPr>
    </w:p>
    <w:p w:rsidR="00E0280B" w:rsidRDefault="00E0280B" w:rsidP="000A2CEF">
      <w:pPr>
        <w:autoSpaceDE w:val="0"/>
        <w:autoSpaceDN w:val="0"/>
        <w:adjustRightInd w:val="0"/>
        <w:spacing w:after="0" w:line="240" w:lineRule="auto"/>
        <w:jc w:val="both"/>
        <w:rPr>
          <w:rFonts w:ascii="Arial" w:hAnsi="Arial" w:cs="Arial"/>
          <w:b/>
          <w:sz w:val="20"/>
          <w:szCs w:val="20"/>
        </w:rPr>
      </w:pPr>
    </w:p>
    <w:p w:rsidR="00E0280B" w:rsidRDefault="00E0280B" w:rsidP="000A2CEF">
      <w:pPr>
        <w:autoSpaceDE w:val="0"/>
        <w:autoSpaceDN w:val="0"/>
        <w:adjustRightInd w:val="0"/>
        <w:spacing w:after="0" w:line="240" w:lineRule="auto"/>
        <w:jc w:val="both"/>
        <w:rPr>
          <w:rFonts w:ascii="Arial" w:hAnsi="Arial" w:cs="Arial"/>
          <w:b/>
          <w:sz w:val="20"/>
          <w:szCs w:val="20"/>
        </w:rPr>
      </w:pPr>
    </w:p>
    <w:p w:rsidR="00E0280B" w:rsidRDefault="00E0280B" w:rsidP="000A2CEF">
      <w:pPr>
        <w:autoSpaceDE w:val="0"/>
        <w:autoSpaceDN w:val="0"/>
        <w:adjustRightInd w:val="0"/>
        <w:spacing w:after="0" w:line="240" w:lineRule="auto"/>
        <w:jc w:val="both"/>
        <w:rPr>
          <w:rFonts w:ascii="Arial" w:hAnsi="Arial" w:cs="Arial"/>
          <w:b/>
          <w:sz w:val="20"/>
          <w:szCs w:val="20"/>
        </w:rPr>
      </w:pPr>
    </w:p>
    <w:p w:rsidR="00E0280B" w:rsidRPr="005C2F1E" w:rsidRDefault="00E0280B" w:rsidP="000A2CEF">
      <w:pPr>
        <w:autoSpaceDE w:val="0"/>
        <w:autoSpaceDN w:val="0"/>
        <w:adjustRightInd w:val="0"/>
        <w:spacing w:after="0" w:line="240" w:lineRule="auto"/>
        <w:jc w:val="both"/>
        <w:rPr>
          <w:rFonts w:ascii="Arial" w:hAnsi="Arial" w:cs="Arial"/>
          <w:b/>
          <w:sz w:val="20"/>
          <w:szCs w:val="20"/>
        </w:rPr>
      </w:pPr>
    </w:p>
    <w:p w:rsidR="000A2CEF" w:rsidRPr="005C2F1E" w:rsidRDefault="000A2CEF" w:rsidP="000A2CEF">
      <w:pPr>
        <w:autoSpaceDE w:val="0"/>
        <w:autoSpaceDN w:val="0"/>
        <w:adjustRightInd w:val="0"/>
        <w:spacing w:after="0" w:line="240" w:lineRule="auto"/>
        <w:jc w:val="both"/>
        <w:rPr>
          <w:rFonts w:ascii="Arial" w:hAnsi="Arial" w:cs="Arial"/>
          <w:b/>
          <w:sz w:val="20"/>
          <w:szCs w:val="20"/>
        </w:rPr>
      </w:pPr>
      <w:r w:rsidRPr="005C2F1E">
        <w:rPr>
          <w:rFonts w:ascii="Arial" w:hAnsi="Arial" w:cs="Arial"/>
          <w:b/>
          <w:sz w:val="20"/>
          <w:szCs w:val="20"/>
        </w:rPr>
        <w:t>JOSÉ ROBERTO MONTES MARÍN</w:t>
      </w:r>
    </w:p>
    <w:p w:rsidR="000A2CEF" w:rsidRPr="005C2F1E" w:rsidRDefault="005C2F1E" w:rsidP="000A2CEF">
      <w:pPr>
        <w:autoSpaceDE w:val="0"/>
        <w:autoSpaceDN w:val="0"/>
        <w:adjustRightInd w:val="0"/>
        <w:spacing w:after="0" w:line="240" w:lineRule="auto"/>
        <w:jc w:val="both"/>
        <w:rPr>
          <w:rFonts w:ascii="Arial" w:hAnsi="Arial" w:cs="Arial"/>
          <w:b/>
          <w:sz w:val="20"/>
          <w:szCs w:val="20"/>
        </w:rPr>
      </w:pPr>
      <w:r w:rsidRPr="005C2F1E">
        <w:rPr>
          <w:rFonts w:ascii="Arial" w:hAnsi="Arial" w:cs="Arial"/>
          <w:b/>
          <w:sz w:val="20"/>
          <w:szCs w:val="20"/>
        </w:rPr>
        <w:t xml:space="preserve">Socio </w:t>
      </w:r>
    </w:p>
    <w:p w:rsidR="000A2CEF" w:rsidRPr="005C2F1E" w:rsidRDefault="000A2CEF" w:rsidP="000A2CEF">
      <w:pPr>
        <w:autoSpaceDE w:val="0"/>
        <w:autoSpaceDN w:val="0"/>
        <w:adjustRightInd w:val="0"/>
        <w:spacing w:after="0" w:line="240" w:lineRule="auto"/>
        <w:jc w:val="both"/>
        <w:rPr>
          <w:rFonts w:ascii="Arial" w:hAnsi="Arial" w:cs="Arial"/>
          <w:sz w:val="20"/>
          <w:szCs w:val="20"/>
        </w:rPr>
      </w:pPr>
      <w:r w:rsidRPr="005C2F1E">
        <w:rPr>
          <w:rFonts w:ascii="Arial" w:hAnsi="Arial" w:cs="Arial"/>
          <w:b/>
          <w:sz w:val="20"/>
          <w:szCs w:val="20"/>
        </w:rPr>
        <w:t>NEXIA INTERNATIONAL MONTES &amp; ASOCIADOS S.A.S.</w:t>
      </w:r>
    </w:p>
    <w:p w:rsidR="000A2CEF" w:rsidRPr="005C2F1E" w:rsidRDefault="000A2CEF" w:rsidP="000A2CEF">
      <w:pPr>
        <w:autoSpaceDE w:val="0"/>
        <w:autoSpaceDN w:val="0"/>
        <w:adjustRightInd w:val="0"/>
        <w:spacing w:after="0" w:line="240" w:lineRule="auto"/>
        <w:jc w:val="both"/>
        <w:rPr>
          <w:rFonts w:ascii="Arial" w:hAnsi="Arial" w:cs="Arial"/>
          <w:sz w:val="16"/>
          <w:szCs w:val="16"/>
        </w:rPr>
      </w:pPr>
    </w:p>
    <w:p w:rsidR="000A2CEF" w:rsidRPr="005C2F1E" w:rsidRDefault="000A2CEF" w:rsidP="000A2CEF">
      <w:pPr>
        <w:autoSpaceDE w:val="0"/>
        <w:autoSpaceDN w:val="0"/>
        <w:adjustRightInd w:val="0"/>
        <w:spacing w:after="0" w:line="240" w:lineRule="auto"/>
        <w:jc w:val="both"/>
        <w:rPr>
          <w:rFonts w:ascii="Arial" w:hAnsi="Arial" w:cs="Arial"/>
          <w:sz w:val="16"/>
          <w:szCs w:val="16"/>
        </w:rPr>
      </w:pPr>
      <w:r w:rsidRPr="005C2F1E">
        <w:rPr>
          <w:rFonts w:ascii="Arial" w:hAnsi="Arial" w:cs="Arial"/>
          <w:sz w:val="16"/>
          <w:szCs w:val="16"/>
        </w:rPr>
        <w:t xml:space="preserve">Elaboró: GIOM - </w:t>
      </w:r>
    </w:p>
    <w:p w:rsidR="000A2CEF" w:rsidRPr="005C2F1E" w:rsidRDefault="000A2CEF" w:rsidP="000A2CEF">
      <w:pPr>
        <w:autoSpaceDE w:val="0"/>
        <w:autoSpaceDN w:val="0"/>
        <w:adjustRightInd w:val="0"/>
        <w:spacing w:after="0" w:line="240" w:lineRule="auto"/>
        <w:jc w:val="both"/>
        <w:rPr>
          <w:rFonts w:ascii="Arial" w:hAnsi="Arial" w:cs="Arial"/>
          <w:sz w:val="16"/>
          <w:szCs w:val="16"/>
        </w:rPr>
      </w:pPr>
      <w:r w:rsidRPr="005C2F1E">
        <w:rPr>
          <w:rFonts w:ascii="Arial" w:hAnsi="Arial" w:cs="Arial"/>
          <w:sz w:val="16"/>
          <w:szCs w:val="16"/>
        </w:rPr>
        <w:t>Revisó: CLCV</w:t>
      </w:r>
    </w:p>
    <w:p w:rsidR="00D67E82" w:rsidRPr="005C2F1E" w:rsidRDefault="000A2CEF" w:rsidP="00975678">
      <w:pPr>
        <w:autoSpaceDE w:val="0"/>
        <w:autoSpaceDN w:val="0"/>
        <w:adjustRightInd w:val="0"/>
        <w:spacing w:after="0" w:line="240" w:lineRule="auto"/>
        <w:jc w:val="both"/>
        <w:rPr>
          <w:rFonts w:ascii="Arial" w:hAnsi="Arial" w:cs="Arial"/>
          <w:sz w:val="16"/>
          <w:szCs w:val="16"/>
        </w:rPr>
      </w:pPr>
      <w:r w:rsidRPr="005C2F1E">
        <w:rPr>
          <w:rFonts w:ascii="Arial" w:hAnsi="Arial" w:cs="Arial"/>
          <w:sz w:val="16"/>
          <w:szCs w:val="16"/>
        </w:rPr>
        <w:t>Aprobó: JRMM</w:t>
      </w:r>
    </w:p>
    <w:sectPr w:rsidR="00D67E82" w:rsidRPr="005C2F1E" w:rsidSect="00FD6AFD">
      <w:headerReference w:type="default" r:id="rId8"/>
      <w:footerReference w:type="default" r:id="rId9"/>
      <w:pgSz w:w="12240" w:h="15840"/>
      <w:pgMar w:top="2325" w:right="1531" w:bottom="2325"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DC0" w:rsidRDefault="00081DC0" w:rsidP="001D1B55">
      <w:pPr>
        <w:spacing w:after="0" w:line="240" w:lineRule="auto"/>
      </w:pPr>
      <w:r>
        <w:separator/>
      </w:r>
    </w:p>
  </w:endnote>
  <w:endnote w:type="continuationSeparator" w:id="0">
    <w:p w:rsidR="00081DC0" w:rsidRDefault="00081DC0" w:rsidP="001D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708920"/>
      <w:docPartObj>
        <w:docPartGallery w:val="Page Numbers (Bottom of Page)"/>
        <w:docPartUnique/>
      </w:docPartObj>
    </w:sdtPr>
    <w:sdtEndPr/>
    <w:sdtContent>
      <w:p w:rsidR="00E0280B" w:rsidRDefault="00E0280B">
        <w:pPr>
          <w:pStyle w:val="Piedepgina"/>
          <w:jc w:val="right"/>
        </w:pPr>
        <w:r>
          <w:fldChar w:fldCharType="begin"/>
        </w:r>
        <w:r>
          <w:instrText>PAGE   \* MERGEFORMAT</w:instrText>
        </w:r>
        <w:r>
          <w:fldChar w:fldCharType="separate"/>
        </w:r>
        <w:r w:rsidR="004A3310" w:rsidRPr="004A3310">
          <w:rPr>
            <w:noProof/>
            <w:lang w:val="es-ES"/>
          </w:rPr>
          <w:t>1</w:t>
        </w:r>
        <w:r>
          <w:fldChar w:fldCharType="end"/>
        </w:r>
      </w:p>
    </w:sdtContent>
  </w:sdt>
  <w:p w:rsidR="00E0280B" w:rsidRDefault="00E028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DC0" w:rsidRDefault="00081DC0" w:rsidP="001D1B55">
      <w:pPr>
        <w:spacing w:after="0" w:line="240" w:lineRule="auto"/>
      </w:pPr>
      <w:r>
        <w:separator/>
      </w:r>
    </w:p>
  </w:footnote>
  <w:footnote w:type="continuationSeparator" w:id="0">
    <w:p w:rsidR="00081DC0" w:rsidRDefault="00081DC0" w:rsidP="001D1B55">
      <w:pPr>
        <w:spacing w:after="0" w:line="240" w:lineRule="auto"/>
      </w:pPr>
      <w:r>
        <w:continuationSeparator/>
      </w:r>
    </w:p>
  </w:footnote>
  <w:footnote w:id="1">
    <w:p w:rsidR="00155AF1" w:rsidRDefault="00155AF1">
      <w:pPr>
        <w:pStyle w:val="Textonotapie"/>
      </w:pPr>
      <w:r>
        <w:rPr>
          <w:rStyle w:val="Refdenotaalpie"/>
        </w:rPr>
        <w:footnoteRef/>
      </w:r>
      <w:r>
        <w:t xml:space="preserve"> Fuente: Acta Nro. 86 del 10 de abril de 2014 CHEC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1E" w:rsidRDefault="005C2F1E" w:rsidP="005C2F1E">
    <w:pPr>
      <w:pStyle w:val="Encabezado"/>
    </w:pPr>
    <w:r>
      <w:rPr>
        <w:noProof/>
        <w:lang w:eastAsia="es-CO"/>
      </w:rPr>
      <w:drawing>
        <wp:anchor distT="0" distB="0" distL="114300" distR="114300" simplePos="0" relativeHeight="251661312" behindDoc="1" locked="0" layoutInCell="1" allowOverlap="1" wp14:anchorId="2DEBC9AC" wp14:editId="49A491D7">
          <wp:simplePos x="0" y="0"/>
          <wp:positionH relativeFrom="column">
            <wp:posOffset>4481830</wp:posOffset>
          </wp:positionH>
          <wp:positionV relativeFrom="paragraph">
            <wp:posOffset>42545</wp:posOffset>
          </wp:positionV>
          <wp:extent cx="1137285" cy="573405"/>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9264" behindDoc="0" locked="0" layoutInCell="1" allowOverlap="1" wp14:anchorId="497BD473" wp14:editId="2E921679">
              <wp:simplePos x="0" y="0"/>
              <wp:positionH relativeFrom="column">
                <wp:posOffset>1729105</wp:posOffset>
              </wp:positionH>
              <wp:positionV relativeFrom="paragraph">
                <wp:posOffset>177800</wp:posOffset>
              </wp:positionV>
              <wp:extent cx="236918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F1E" w:rsidRPr="00360380" w:rsidRDefault="005C2F1E" w:rsidP="005C2F1E">
                          <w:pPr>
                            <w:jc w:val="center"/>
                            <w:rPr>
                              <w:rFonts w:ascii="Arial" w:hAnsi="Arial" w:cs="Arial"/>
                              <w:sz w:val="20"/>
                            </w:rPr>
                          </w:pPr>
                          <w:r w:rsidRPr="00360380">
                            <w:rPr>
                              <w:rFonts w:ascii="Arial" w:hAnsi="Arial" w:cs="Arial"/>
                              <w:sz w:val="20"/>
                            </w:rPr>
                            <w:t>MONTES &amp; ASOCIADOS AUDITORES CONSULTORES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BD473" id="_x0000_t202" coordsize="21600,21600" o:spt="202" path="m,l,21600r21600,l21600,xe">
              <v:stroke joinstyle="miter"/>
              <v:path gradientshapeok="t" o:connecttype="rect"/>
            </v:shapetype>
            <v:shape id="Cuadro de texto 2" o:spid="_x0000_s1026" type="#_x0000_t202" style="position:absolute;margin-left:136.15pt;margin-top:14pt;width:186.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4EuQIAAMA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" filled="f" stroked="f">
              <v:textbox>
                <w:txbxContent>
                  <w:p w:rsidR="005C2F1E" w:rsidRPr="00360380" w:rsidRDefault="005C2F1E" w:rsidP="005C2F1E">
                    <w:pPr>
                      <w:jc w:val="center"/>
                      <w:rPr>
                        <w:rFonts w:ascii="Arial" w:hAnsi="Arial" w:cs="Arial"/>
                        <w:sz w:val="20"/>
                      </w:rPr>
                    </w:pPr>
                    <w:r w:rsidRPr="00360380">
                      <w:rPr>
                        <w:rFonts w:ascii="Arial" w:hAnsi="Arial" w:cs="Arial"/>
                        <w:sz w:val="20"/>
                      </w:rPr>
                      <w:t>MONTES &amp; ASOCIADOS AUDITORES CONSULTORES</w:t>
                    </w:r>
                  </w:p>
                </w:txbxContent>
              </v:textbox>
            </v:shape>
          </w:pict>
        </mc:Fallback>
      </mc:AlternateContent>
    </w:r>
    <w:r>
      <w:rPr>
        <w:noProof/>
        <w:lang w:eastAsia="es-CO"/>
      </w:rPr>
      <w:drawing>
        <wp:anchor distT="0" distB="0" distL="114300" distR="114300" simplePos="0" relativeHeight="251660288" behindDoc="0" locked="0" layoutInCell="1" allowOverlap="1" wp14:anchorId="3574D981" wp14:editId="5EC8F085">
          <wp:simplePos x="0" y="0"/>
          <wp:positionH relativeFrom="column">
            <wp:posOffset>-635</wp:posOffset>
          </wp:positionH>
          <wp:positionV relativeFrom="paragraph">
            <wp:posOffset>73025</wp:posOffset>
          </wp:positionV>
          <wp:extent cx="1247775" cy="788035"/>
          <wp:effectExtent l="0" t="0" r="9525" b="0"/>
          <wp:wrapSquare wrapText="bothSides"/>
          <wp:docPr id="1" name="Imagen 1"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77" descr="ENCABEZA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7880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5C2F1E" w:rsidRPr="00434FB8" w:rsidRDefault="005C2F1E" w:rsidP="005C2F1E">
    <w:pPr>
      <w:pStyle w:val="Encabezado"/>
      <w:jc w:val="right"/>
    </w:pPr>
  </w:p>
  <w:p w:rsidR="005C2F1E" w:rsidRPr="00785662" w:rsidRDefault="005C2F1E" w:rsidP="005C2F1E">
    <w:pPr>
      <w:pStyle w:val="Encabezado"/>
      <w:tabs>
        <w:tab w:val="left" w:pos="2407"/>
        <w:tab w:val="left" w:pos="6620"/>
      </w:tabs>
      <w:jc w:val="right"/>
    </w:pPr>
    <w:r>
      <w:tab/>
    </w:r>
    <w:r>
      <w:tab/>
    </w:r>
  </w:p>
  <w:p w:rsidR="005C2F1E" w:rsidRDefault="005C2F1E" w:rsidP="005C2F1E">
    <w:pPr>
      <w:pStyle w:val="Encabezado"/>
      <w:tabs>
        <w:tab w:val="left" w:pos="2640"/>
      </w:tabs>
    </w:pPr>
  </w:p>
  <w:p w:rsidR="005C2F1E" w:rsidRDefault="005C2F1E" w:rsidP="005C2F1E">
    <w:pPr>
      <w:pStyle w:val="Encabezado"/>
    </w:pPr>
  </w:p>
  <w:p w:rsidR="005C2F1E" w:rsidRDefault="005C2F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27B47"/>
    <w:multiLevelType w:val="hybridMultilevel"/>
    <w:tmpl w:val="6C5459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E1"/>
    <w:rsid w:val="0000035D"/>
    <w:rsid w:val="000302BF"/>
    <w:rsid w:val="00046D63"/>
    <w:rsid w:val="00047765"/>
    <w:rsid w:val="00052FD7"/>
    <w:rsid w:val="00064A42"/>
    <w:rsid w:val="00071EE9"/>
    <w:rsid w:val="00081DC0"/>
    <w:rsid w:val="000A2CEF"/>
    <w:rsid w:val="000A37FF"/>
    <w:rsid w:val="000E1C25"/>
    <w:rsid w:val="000F3D39"/>
    <w:rsid w:val="001005EC"/>
    <w:rsid w:val="001216C3"/>
    <w:rsid w:val="00140125"/>
    <w:rsid w:val="00141A58"/>
    <w:rsid w:val="00151761"/>
    <w:rsid w:val="00154FE7"/>
    <w:rsid w:val="00155507"/>
    <w:rsid w:val="00155AF1"/>
    <w:rsid w:val="00161A7E"/>
    <w:rsid w:val="001625AE"/>
    <w:rsid w:val="00186C17"/>
    <w:rsid w:val="00192CE5"/>
    <w:rsid w:val="0019753F"/>
    <w:rsid w:val="001A30BA"/>
    <w:rsid w:val="001A5EBD"/>
    <w:rsid w:val="001B1CFD"/>
    <w:rsid w:val="001B6EEA"/>
    <w:rsid w:val="001D1B55"/>
    <w:rsid w:val="001D7D73"/>
    <w:rsid w:val="001E5E49"/>
    <w:rsid w:val="002149AC"/>
    <w:rsid w:val="00214C84"/>
    <w:rsid w:val="00221388"/>
    <w:rsid w:val="0023274A"/>
    <w:rsid w:val="00244CFE"/>
    <w:rsid w:val="0025785D"/>
    <w:rsid w:val="00275862"/>
    <w:rsid w:val="00284A5B"/>
    <w:rsid w:val="00293564"/>
    <w:rsid w:val="002935BB"/>
    <w:rsid w:val="002A2E17"/>
    <w:rsid w:val="002B4371"/>
    <w:rsid w:val="002B69CE"/>
    <w:rsid w:val="002C114B"/>
    <w:rsid w:val="002C2E67"/>
    <w:rsid w:val="002D0A10"/>
    <w:rsid w:val="002E0F85"/>
    <w:rsid w:val="002E6B26"/>
    <w:rsid w:val="002F1A7F"/>
    <w:rsid w:val="002F424C"/>
    <w:rsid w:val="002F492F"/>
    <w:rsid w:val="002F7AFC"/>
    <w:rsid w:val="00351AFA"/>
    <w:rsid w:val="00363C24"/>
    <w:rsid w:val="00364A8D"/>
    <w:rsid w:val="00380DE6"/>
    <w:rsid w:val="00381C21"/>
    <w:rsid w:val="003842C8"/>
    <w:rsid w:val="00391633"/>
    <w:rsid w:val="003961A0"/>
    <w:rsid w:val="003A5CE1"/>
    <w:rsid w:val="003F1DDB"/>
    <w:rsid w:val="00412B9F"/>
    <w:rsid w:val="0043001D"/>
    <w:rsid w:val="00454430"/>
    <w:rsid w:val="00462712"/>
    <w:rsid w:val="00492878"/>
    <w:rsid w:val="004A3310"/>
    <w:rsid w:val="004C29F2"/>
    <w:rsid w:val="004C39FA"/>
    <w:rsid w:val="004D53D2"/>
    <w:rsid w:val="004E2000"/>
    <w:rsid w:val="00507052"/>
    <w:rsid w:val="00546A34"/>
    <w:rsid w:val="00551FF5"/>
    <w:rsid w:val="005660D7"/>
    <w:rsid w:val="00571EB2"/>
    <w:rsid w:val="00586F59"/>
    <w:rsid w:val="005A55C4"/>
    <w:rsid w:val="005B3D5B"/>
    <w:rsid w:val="005C2F1E"/>
    <w:rsid w:val="005E12C9"/>
    <w:rsid w:val="005E4A4E"/>
    <w:rsid w:val="005E5329"/>
    <w:rsid w:val="005E766A"/>
    <w:rsid w:val="0060543F"/>
    <w:rsid w:val="006343D6"/>
    <w:rsid w:val="00650240"/>
    <w:rsid w:val="0065231F"/>
    <w:rsid w:val="00671A0D"/>
    <w:rsid w:val="00674BE0"/>
    <w:rsid w:val="00695A46"/>
    <w:rsid w:val="006C24FC"/>
    <w:rsid w:val="006C54F4"/>
    <w:rsid w:val="006F73B3"/>
    <w:rsid w:val="00703AF8"/>
    <w:rsid w:val="0071677D"/>
    <w:rsid w:val="00741F10"/>
    <w:rsid w:val="00742E14"/>
    <w:rsid w:val="007707C9"/>
    <w:rsid w:val="00772545"/>
    <w:rsid w:val="00783A91"/>
    <w:rsid w:val="00787B61"/>
    <w:rsid w:val="007A60EC"/>
    <w:rsid w:val="007D216C"/>
    <w:rsid w:val="007D6115"/>
    <w:rsid w:val="007E0ED7"/>
    <w:rsid w:val="007E3303"/>
    <w:rsid w:val="007F5E93"/>
    <w:rsid w:val="00810EF2"/>
    <w:rsid w:val="00817A89"/>
    <w:rsid w:val="00820C6A"/>
    <w:rsid w:val="008229BC"/>
    <w:rsid w:val="00825BA5"/>
    <w:rsid w:val="00836E98"/>
    <w:rsid w:val="00841B9E"/>
    <w:rsid w:val="00874B04"/>
    <w:rsid w:val="00882381"/>
    <w:rsid w:val="008869DF"/>
    <w:rsid w:val="0089103F"/>
    <w:rsid w:val="00896F79"/>
    <w:rsid w:val="008D090D"/>
    <w:rsid w:val="008D78DA"/>
    <w:rsid w:val="00912111"/>
    <w:rsid w:val="0094384A"/>
    <w:rsid w:val="009446D6"/>
    <w:rsid w:val="009561BE"/>
    <w:rsid w:val="009572F4"/>
    <w:rsid w:val="00975678"/>
    <w:rsid w:val="00976EA2"/>
    <w:rsid w:val="009D1530"/>
    <w:rsid w:val="009D7336"/>
    <w:rsid w:val="009E4D9F"/>
    <w:rsid w:val="00A15661"/>
    <w:rsid w:val="00A21ED1"/>
    <w:rsid w:val="00A2393E"/>
    <w:rsid w:val="00A56421"/>
    <w:rsid w:val="00A64BC2"/>
    <w:rsid w:val="00AE5EE2"/>
    <w:rsid w:val="00AF5229"/>
    <w:rsid w:val="00B25CA6"/>
    <w:rsid w:val="00B329DF"/>
    <w:rsid w:val="00B550A9"/>
    <w:rsid w:val="00B8107C"/>
    <w:rsid w:val="00BA281C"/>
    <w:rsid w:val="00BA4FE0"/>
    <w:rsid w:val="00BC02D7"/>
    <w:rsid w:val="00C01130"/>
    <w:rsid w:val="00C31216"/>
    <w:rsid w:val="00C41958"/>
    <w:rsid w:val="00C4195E"/>
    <w:rsid w:val="00C41E16"/>
    <w:rsid w:val="00C45555"/>
    <w:rsid w:val="00C64DBB"/>
    <w:rsid w:val="00C664CC"/>
    <w:rsid w:val="00CA642B"/>
    <w:rsid w:val="00CA6D38"/>
    <w:rsid w:val="00CC462E"/>
    <w:rsid w:val="00CC66D9"/>
    <w:rsid w:val="00CD355D"/>
    <w:rsid w:val="00CF5C35"/>
    <w:rsid w:val="00D068C8"/>
    <w:rsid w:val="00D07918"/>
    <w:rsid w:val="00D11647"/>
    <w:rsid w:val="00D11C3E"/>
    <w:rsid w:val="00D304D7"/>
    <w:rsid w:val="00D32EEA"/>
    <w:rsid w:val="00D632E4"/>
    <w:rsid w:val="00D63368"/>
    <w:rsid w:val="00D67E82"/>
    <w:rsid w:val="00DD5C40"/>
    <w:rsid w:val="00E0280B"/>
    <w:rsid w:val="00E4194E"/>
    <w:rsid w:val="00E548F0"/>
    <w:rsid w:val="00E54E07"/>
    <w:rsid w:val="00EB0A52"/>
    <w:rsid w:val="00EC3DF1"/>
    <w:rsid w:val="00EE709D"/>
    <w:rsid w:val="00F034FC"/>
    <w:rsid w:val="00F1526A"/>
    <w:rsid w:val="00F161F7"/>
    <w:rsid w:val="00F176D9"/>
    <w:rsid w:val="00F42908"/>
    <w:rsid w:val="00F6373E"/>
    <w:rsid w:val="00F75D26"/>
    <w:rsid w:val="00F77236"/>
    <w:rsid w:val="00F85DD6"/>
    <w:rsid w:val="00F95AE5"/>
    <w:rsid w:val="00FD6AFD"/>
    <w:rsid w:val="00FF4D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24058-C577-4228-8802-12396F88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CE1"/>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5C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1517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761"/>
    <w:rPr>
      <w:rFonts w:ascii="Tahoma" w:hAnsi="Tahoma" w:cs="Tahoma"/>
      <w:sz w:val="16"/>
      <w:szCs w:val="16"/>
      <w:lang w:val="es-CO"/>
    </w:rPr>
  </w:style>
  <w:style w:type="paragraph" w:customStyle="1" w:styleId="Default">
    <w:name w:val="Default"/>
    <w:uiPriority w:val="99"/>
    <w:rsid w:val="0043001D"/>
    <w:pPr>
      <w:autoSpaceDE w:val="0"/>
      <w:autoSpaceDN w:val="0"/>
      <w:adjustRightInd w:val="0"/>
    </w:pPr>
    <w:rPr>
      <w:rFonts w:ascii="Times New Roman" w:eastAsia="Calibri" w:hAnsi="Times New Roman" w:cs="Times New Roman"/>
      <w:color w:val="000000"/>
      <w:sz w:val="24"/>
      <w:szCs w:val="24"/>
      <w:lang w:val="es-CO"/>
    </w:rPr>
  </w:style>
  <w:style w:type="paragraph" w:customStyle="1" w:styleId="BodyText27">
    <w:name w:val="Body Text 27"/>
    <w:basedOn w:val="Normal"/>
    <w:rsid w:val="0043001D"/>
    <w:pPr>
      <w:widowControl w:val="0"/>
      <w:tabs>
        <w:tab w:val="left" w:pos="360"/>
        <w:tab w:val="left" w:pos="567"/>
      </w:tabs>
      <w:spacing w:after="0" w:line="240" w:lineRule="auto"/>
      <w:jc w:val="both"/>
    </w:pPr>
    <w:rPr>
      <w:rFonts w:ascii="Arial" w:eastAsia="Times New Roman" w:hAnsi="Arial" w:cs="Times New Roman"/>
      <w:sz w:val="20"/>
      <w:szCs w:val="20"/>
      <w:lang w:val="es-ES" w:eastAsia="es-ES"/>
    </w:rPr>
  </w:style>
  <w:style w:type="paragraph" w:styleId="Encabezado">
    <w:name w:val="header"/>
    <w:basedOn w:val="Normal"/>
    <w:link w:val="EncabezadoCar"/>
    <w:uiPriority w:val="99"/>
    <w:unhideWhenUsed/>
    <w:rsid w:val="001D1B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1B55"/>
    <w:rPr>
      <w:lang w:val="es-CO"/>
    </w:rPr>
  </w:style>
  <w:style w:type="paragraph" w:styleId="Piedepgina">
    <w:name w:val="footer"/>
    <w:basedOn w:val="Normal"/>
    <w:link w:val="PiedepginaCar"/>
    <w:uiPriority w:val="99"/>
    <w:unhideWhenUsed/>
    <w:rsid w:val="001D1B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B55"/>
    <w:rPr>
      <w:lang w:val="es-CO"/>
    </w:rPr>
  </w:style>
  <w:style w:type="paragraph" w:styleId="Prrafodelista">
    <w:name w:val="List Paragraph"/>
    <w:basedOn w:val="Normal"/>
    <w:uiPriority w:val="34"/>
    <w:qFormat/>
    <w:rsid w:val="006C54F4"/>
    <w:pPr>
      <w:ind w:left="720"/>
      <w:contextualSpacing/>
    </w:pPr>
  </w:style>
  <w:style w:type="table" w:styleId="Tablaconcuadrcula">
    <w:name w:val="Table Grid"/>
    <w:basedOn w:val="Tablanormal"/>
    <w:uiPriority w:val="59"/>
    <w:rsid w:val="008D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55A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5AF1"/>
    <w:rPr>
      <w:sz w:val="20"/>
      <w:szCs w:val="20"/>
      <w:lang w:val="es-CO"/>
    </w:rPr>
  </w:style>
  <w:style w:type="character" w:styleId="Refdenotaalpie">
    <w:name w:val="footnote reference"/>
    <w:basedOn w:val="Fuentedeprrafopredeter"/>
    <w:uiPriority w:val="99"/>
    <w:semiHidden/>
    <w:unhideWhenUsed/>
    <w:rsid w:val="00155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12E94-0ED8-47C7-8B79-BD5CC902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7</Pages>
  <Words>1433</Words>
  <Characters>7887</Characters>
  <Application/>
  <DocSecurity>0</DocSecurity>
  <Lines>65</Lines>
  <Paragraphs>18</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9302</CharactersWithSpaces>
  <SharedDoc>false</SharedDoc>
  <HyperlinksChanged>false</HyperlinksChanged>
  <AppVersion>15.0000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creator>Grupo EPM</dc:creator>
  <cp:revision>0</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my_tag_name">
    <vt:lpwstr>MetaClean sync </vt:lpwstr>
  </property>
</Properties>
</file>